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D8D1" w14:textId="3C7C3C50" w:rsidR="00250018" w:rsidRDefault="00C07F90">
      <w:pPr>
        <w:pStyle w:val="Title"/>
      </w:pPr>
      <w:r>
        <w:t>Capitol News – Final Edition</w:t>
      </w:r>
    </w:p>
    <w:p w14:paraId="1DFB9346" w14:textId="77777777" w:rsidR="00250018" w:rsidRDefault="00250018">
      <w:pPr>
        <w:pStyle w:val="Title"/>
      </w:pPr>
      <w:r>
        <w:t xml:space="preserve">March 11, 2022 </w:t>
      </w:r>
    </w:p>
    <w:p w14:paraId="79E7A808" w14:textId="574DAF82" w:rsidR="00BB09EB" w:rsidRDefault="00250018">
      <w:pPr>
        <w:pStyle w:val="Title"/>
      </w:pPr>
      <w:r>
        <w:t>Melissa Johnson, Lobbyist</w:t>
      </w:r>
    </w:p>
    <w:p w14:paraId="5A52E837" w14:textId="4C7D2301" w:rsidR="00250018" w:rsidRPr="00250018" w:rsidRDefault="00250018" w:rsidP="00250018">
      <w:r>
        <w:rPr>
          <w:noProof/>
        </w:rPr>
        <mc:AlternateContent>
          <mc:Choice Requires="wps">
            <w:drawing>
              <wp:anchor distT="0" distB="0" distL="114300" distR="114300" simplePos="0" relativeHeight="251659264" behindDoc="0" locked="0" layoutInCell="1" allowOverlap="1" wp14:anchorId="77B4AC56" wp14:editId="1E40398A">
                <wp:simplePos x="0" y="0"/>
                <wp:positionH relativeFrom="column">
                  <wp:posOffset>772</wp:posOffset>
                </wp:positionH>
                <wp:positionV relativeFrom="paragraph">
                  <wp:posOffset>81528</wp:posOffset>
                </wp:positionV>
                <wp:extent cx="7100515" cy="0"/>
                <wp:effectExtent l="50800" t="38100" r="37465" b="76200"/>
                <wp:wrapNone/>
                <wp:docPr id="31" name="Straight Connector 31"/>
                <wp:cNvGraphicFramePr/>
                <a:graphic xmlns:a="http://schemas.openxmlformats.org/drawingml/2006/main">
                  <a:graphicData uri="http://schemas.microsoft.com/office/word/2010/wordprocessingShape">
                    <wps:wsp>
                      <wps:cNvCnPr/>
                      <wps:spPr>
                        <a:xfrm>
                          <a:off x="0" y="0"/>
                          <a:ext cx="710051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F3736C0"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6.4pt" to="559.1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" strokecolor="#4f81bd [3204]" strokeweight="2pt">
                <v:shadow on="t" color="black" opacity="24903f" origin=",.5" offset="0,.55556mm"/>
              </v:line>
            </w:pict>
          </mc:Fallback>
        </mc:AlternateContent>
      </w:r>
    </w:p>
    <w:p w14:paraId="19D9068B" w14:textId="77777777" w:rsidR="00250018" w:rsidRDefault="00250018" w:rsidP="00250018">
      <w:pPr>
        <w:pStyle w:val="Heading2"/>
      </w:pPr>
      <w:bookmarkStart w:id="0" w:name="OLE_LINK3"/>
      <w:bookmarkStart w:id="1" w:name="OLE_LINK4"/>
      <w:r>
        <w:t>General News</w:t>
      </w:r>
    </w:p>
    <w:p w14:paraId="35DCC786" w14:textId="77777777" w:rsidR="00250018" w:rsidRDefault="00250018" w:rsidP="00250018">
      <w:pPr>
        <w:rPr>
          <w:rFonts w:ascii="Cambria" w:hAnsi="Cambria"/>
        </w:rPr>
      </w:pPr>
    </w:p>
    <w:p w14:paraId="71DF3CD5" w14:textId="654C0D85" w:rsidR="00250018" w:rsidRPr="00A30477" w:rsidRDefault="00250018" w:rsidP="00250018">
      <w:pPr>
        <w:rPr>
          <w:rFonts w:ascii="Cambria" w:hAnsi="Cambria"/>
        </w:rPr>
      </w:pPr>
      <w:r w:rsidRPr="00A30477">
        <w:rPr>
          <w:rFonts w:ascii="Cambria" w:hAnsi="Cambria"/>
        </w:rPr>
        <w:t>At 11:35 pm on Thursday, March 10</w:t>
      </w:r>
      <w:r w:rsidRPr="00A30477">
        <w:rPr>
          <w:rFonts w:ascii="Cambria" w:hAnsi="Cambria"/>
          <w:vertAlign w:val="superscript"/>
        </w:rPr>
        <w:t>th</w:t>
      </w:r>
      <w:r w:rsidRPr="00A30477">
        <w:rPr>
          <w:rFonts w:ascii="Cambria" w:hAnsi="Cambria"/>
        </w:rPr>
        <w:t xml:space="preserve">, the Legislature adjourned sine die (Latin phrase meaning “without a day to reconvene”). </w:t>
      </w:r>
      <w:r w:rsidR="007E31E2">
        <w:rPr>
          <w:rFonts w:ascii="Cambria" w:hAnsi="Cambria"/>
        </w:rPr>
        <w:t xml:space="preserve"> </w:t>
      </w:r>
      <w:r w:rsidRPr="00A30477">
        <w:rPr>
          <w:rFonts w:ascii="Cambria" w:hAnsi="Cambria"/>
        </w:rPr>
        <w:t xml:space="preserve">This session began in the darkness of the omicron surge and ended in optimism 24 hours and 25 minutes before the expiration of Washington’s indoor mask mandate.  And yet, this session bore many of the same COVID-19 restrictions as last session, most notably the closure of offices to constituents and lobbyists wishing to meet with lawmakers and staff in person. </w:t>
      </w:r>
    </w:p>
    <w:p w14:paraId="1C2DA740" w14:textId="77777777" w:rsidR="00250018" w:rsidRPr="00A30477" w:rsidRDefault="00250018" w:rsidP="00250018">
      <w:pPr>
        <w:rPr>
          <w:rFonts w:ascii="Cambria" w:hAnsi="Cambria"/>
        </w:rPr>
      </w:pPr>
    </w:p>
    <w:p w14:paraId="1E75FD12" w14:textId="77777777" w:rsidR="00250018" w:rsidRPr="00A30477" w:rsidRDefault="00250018" w:rsidP="00250018">
      <w:pPr>
        <w:rPr>
          <w:rFonts w:ascii="Cambria" w:hAnsi="Cambria"/>
        </w:rPr>
      </w:pPr>
      <w:r w:rsidRPr="00A30477">
        <w:rPr>
          <w:rFonts w:ascii="Cambria" w:hAnsi="Cambria"/>
        </w:rPr>
        <w:t xml:space="preserve">Majority Democrats came to Olympia this year with two high-profile priorities at the top of their list, fixes to the long-term care program and to police reforms passed last session.  Both topics were addressed in short order. </w:t>
      </w:r>
      <w:r>
        <w:rPr>
          <w:rFonts w:ascii="Cambria" w:hAnsi="Cambria"/>
        </w:rPr>
        <w:t xml:space="preserve"> </w:t>
      </w:r>
      <w:r w:rsidRPr="00A30477">
        <w:rPr>
          <w:rFonts w:ascii="Cambria" w:hAnsi="Cambria"/>
        </w:rPr>
        <w:t xml:space="preserve">Additionally, for the second year in a row, leadership asked members to introduce no more than 7 new bills and chairs to limit the number of bills passed out of committee to ease the burden of a mostly virtual session.  Democratic </w:t>
      </w:r>
      <w:r>
        <w:rPr>
          <w:rFonts w:ascii="Cambria" w:hAnsi="Cambria"/>
        </w:rPr>
        <w:t>l</w:t>
      </w:r>
      <w:r w:rsidRPr="00A30477">
        <w:rPr>
          <w:rFonts w:ascii="Cambria" w:hAnsi="Cambria"/>
        </w:rPr>
        <w:t>eadership also requested members limit the focus of their bills to “</w:t>
      </w:r>
      <w:r>
        <w:rPr>
          <w:rFonts w:ascii="Cambria" w:hAnsi="Cambria"/>
        </w:rPr>
        <w:t>s</w:t>
      </w:r>
      <w:r w:rsidRPr="00A30477">
        <w:rPr>
          <w:rFonts w:ascii="Cambria" w:hAnsi="Cambria"/>
        </w:rPr>
        <w:t xml:space="preserve">erve Washingtonians </w:t>
      </w:r>
      <w:r>
        <w:rPr>
          <w:rFonts w:ascii="Cambria" w:hAnsi="Cambria"/>
        </w:rPr>
        <w:t>b</w:t>
      </w:r>
      <w:r w:rsidRPr="00A30477">
        <w:rPr>
          <w:rFonts w:ascii="Cambria" w:hAnsi="Cambria"/>
        </w:rPr>
        <w:t xml:space="preserve">etter, </w:t>
      </w:r>
      <w:r>
        <w:rPr>
          <w:rFonts w:ascii="Cambria" w:hAnsi="Cambria"/>
        </w:rPr>
        <w:t>s</w:t>
      </w:r>
      <w:r w:rsidRPr="00A30477">
        <w:rPr>
          <w:rFonts w:ascii="Cambria" w:hAnsi="Cambria"/>
        </w:rPr>
        <w:t xml:space="preserve">trengthen </w:t>
      </w:r>
      <w:r>
        <w:rPr>
          <w:rFonts w:ascii="Cambria" w:hAnsi="Cambria"/>
        </w:rPr>
        <w:t>e</w:t>
      </w:r>
      <w:r w:rsidRPr="00A30477">
        <w:rPr>
          <w:rFonts w:ascii="Cambria" w:hAnsi="Cambria"/>
        </w:rPr>
        <w:t xml:space="preserve">conomic </w:t>
      </w:r>
      <w:r>
        <w:rPr>
          <w:rFonts w:ascii="Cambria" w:hAnsi="Cambria"/>
        </w:rPr>
        <w:t>w</w:t>
      </w:r>
      <w:r w:rsidRPr="00A30477">
        <w:rPr>
          <w:rFonts w:ascii="Cambria" w:hAnsi="Cambria"/>
        </w:rPr>
        <w:t>ell-</w:t>
      </w:r>
      <w:r>
        <w:rPr>
          <w:rFonts w:ascii="Cambria" w:hAnsi="Cambria"/>
        </w:rPr>
        <w:t>b</w:t>
      </w:r>
      <w:r w:rsidRPr="00A30477">
        <w:rPr>
          <w:rFonts w:ascii="Cambria" w:hAnsi="Cambria"/>
        </w:rPr>
        <w:t xml:space="preserve">eing, </w:t>
      </w:r>
      <w:r>
        <w:rPr>
          <w:rFonts w:ascii="Cambria" w:hAnsi="Cambria"/>
        </w:rPr>
        <w:t>a</w:t>
      </w:r>
      <w:r w:rsidRPr="00A30477">
        <w:rPr>
          <w:rFonts w:ascii="Cambria" w:hAnsi="Cambria"/>
        </w:rPr>
        <w:t xml:space="preserve">dvance </w:t>
      </w:r>
      <w:r>
        <w:rPr>
          <w:rFonts w:ascii="Cambria" w:hAnsi="Cambria"/>
        </w:rPr>
        <w:t>r</w:t>
      </w:r>
      <w:r w:rsidRPr="00A30477">
        <w:rPr>
          <w:rFonts w:ascii="Cambria" w:hAnsi="Cambria"/>
        </w:rPr>
        <w:t xml:space="preserve">acial </w:t>
      </w:r>
      <w:r>
        <w:rPr>
          <w:rFonts w:ascii="Cambria" w:hAnsi="Cambria"/>
        </w:rPr>
        <w:t>e</w:t>
      </w:r>
      <w:r w:rsidRPr="00A30477">
        <w:rPr>
          <w:rFonts w:ascii="Cambria" w:hAnsi="Cambria"/>
        </w:rPr>
        <w:t xml:space="preserve">quality and </w:t>
      </w:r>
      <w:r>
        <w:rPr>
          <w:rFonts w:ascii="Cambria" w:hAnsi="Cambria"/>
        </w:rPr>
        <w:t>j</w:t>
      </w:r>
      <w:r w:rsidRPr="00A30477">
        <w:rPr>
          <w:rFonts w:ascii="Cambria" w:hAnsi="Cambria"/>
        </w:rPr>
        <w:t xml:space="preserve">ustice, and </w:t>
      </w:r>
      <w:r>
        <w:rPr>
          <w:rFonts w:ascii="Cambria" w:hAnsi="Cambria"/>
        </w:rPr>
        <w:t>a</w:t>
      </w:r>
      <w:r w:rsidRPr="00A30477">
        <w:rPr>
          <w:rFonts w:ascii="Cambria" w:hAnsi="Cambria"/>
        </w:rPr>
        <w:t xml:space="preserve">ddress the </w:t>
      </w:r>
      <w:r>
        <w:rPr>
          <w:rFonts w:ascii="Cambria" w:hAnsi="Cambria"/>
        </w:rPr>
        <w:t>c</w:t>
      </w:r>
      <w:r w:rsidRPr="00A30477">
        <w:rPr>
          <w:rFonts w:ascii="Cambria" w:hAnsi="Cambria"/>
        </w:rPr>
        <w:t xml:space="preserve">limate </w:t>
      </w:r>
      <w:r>
        <w:rPr>
          <w:rFonts w:ascii="Cambria" w:hAnsi="Cambria"/>
        </w:rPr>
        <w:t>c</w:t>
      </w:r>
      <w:r w:rsidRPr="00A30477">
        <w:rPr>
          <w:rFonts w:ascii="Cambria" w:hAnsi="Cambria"/>
        </w:rPr>
        <w:t xml:space="preserve">risis.” </w:t>
      </w:r>
    </w:p>
    <w:p w14:paraId="2F7A6592" w14:textId="77777777" w:rsidR="00250018" w:rsidRPr="00A30477" w:rsidRDefault="00250018" w:rsidP="00250018">
      <w:pPr>
        <w:rPr>
          <w:rFonts w:ascii="Cambria" w:hAnsi="Cambria"/>
        </w:rPr>
      </w:pPr>
    </w:p>
    <w:p w14:paraId="05975734" w14:textId="77777777" w:rsidR="00250018" w:rsidRPr="00A30477" w:rsidRDefault="00250018" w:rsidP="00250018">
      <w:pPr>
        <w:rPr>
          <w:rFonts w:ascii="Cambria" w:hAnsi="Cambria" w:cstheme="minorHAnsi"/>
        </w:rPr>
      </w:pPr>
      <w:r w:rsidRPr="00A30477">
        <w:rPr>
          <w:rFonts w:ascii="Cambria" w:hAnsi="Cambria" w:cstheme="minorHAnsi"/>
        </w:rPr>
        <w:t xml:space="preserve">In the end, this supplemental session was defined by the money flowing into the state, through higher-than-expected revenue and the continuation of federal COVID relief dollars.  This is reflected in the supplemental operating budget approved on the last day of session.  Spending $5 billion more than last year’s budget, this </w:t>
      </w:r>
      <w:r>
        <w:rPr>
          <w:rFonts w:ascii="Cambria" w:hAnsi="Cambria" w:cstheme="minorHAnsi"/>
        </w:rPr>
        <w:t xml:space="preserve">year’s </w:t>
      </w:r>
      <w:r w:rsidRPr="00A30477">
        <w:rPr>
          <w:rFonts w:ascii="Cambria" w:hAnsi="Cambria" w:cstheme="minorHAnsi"/>
        </w:rPr>
        <w:t xml:space="preserve">budget made large investments in housing and homelessness, behavioral health, and climate change.  The Democrats’ 16-year transportation-spending package also made historic investments in transportation infrastructure including highway projects, road maintenance, ferries, and transit services.  </w:t>
      </w:r>
    </w:p>
    <w:p w14:paraId="19F90C1B" w14:textId="77777777" w:rsidR="00250018" w:rsidRPr="00A30477" w:rsidRDefault="00250018" w:rsidP="00250018">
      <w:pPr>
        <w:rPr>
          <w:rFonts w:ascii="Cambria" w:hAnsi="Cambria" w:cstheme="minorHAnsi"/>
        </w:rPr>
      </w:pPr>
    </w:p>
    <w:p w14:paraId="223A0153" w14:textId="00B9F188" w:rsidR="0063464A" w:rsidRDefault="00250018" w:rsidP="0063464A">
      <w:pPr>
        <w:pStyle w:val="NormalWeb"/>
        <w:shd w:val="clear" w:color="auto" w:fill="FFFFFF"/>
        <w:spacing w:before="0" w:beforeAutospacing="0" w:after="0" w:afterAutospacing="0"/>
        <w:contextualSpacing/>
        <w:rPr>
          <w:rFonts w:ascii="Cambria" w:hAnsi="Cambria" w:cstheme="minorHAnsi"/>
          <w:color w:val="222222"/>
          <w:shd w:val="clear" w:color="auto" w:fill="FFFFFF"/>
        </w:rPr>
      </w:pPr>
      <w:r w:rsidRPr="00A30477">
        <w:rPr>
          <w:rFonts w:ascii="Cambria" w:hAnsi="Cambria" w:cstheme="minorHAnsi"/>
        </w:rPr>
        <w:t xml:space="preserve">What’s next?  </w:t>
      </w:r>
      <w:r w:rsidR="0063464A" w:rsidRPr="00DB68D1">
        <w:rPr>
          <w:rFonts w:ascii="Cambria" w:hAnsi="Cambria" w:cstheme="minorHAnsi"/>
          <w:color w:val="000000"/>
          <w:shd w:val="clear" w:color="auto" w:fill="FFFFFF"/>
        </w:rPr>
        <w:t xml:space="preserve">Once a bill has finally passed the Legislature, it is sent to the Governor for his action.  After the Governor reviews the bill, he may decide to sign it, veto part of it, or veto all of it.  If the Governor </w:t>
      </w:r>
      <w:proofErr w:type="gramStart"/>
      <w:r w:rsidR="0063464A" w:rsidRPr="00DB68D1">
        <w:rPr>
          <w:rFonts w:ascii="Cambria" w:hAnsi="Cambria" w:cstheme="minorHAnsi"/>
          <w:color w:val="000000"/>
          <w:shd w:val="clear" w:color="auto" w:fill="FFFFFF"/>
        </w:rPr>
        <w:t>vetoes</w:t>
      </w:r>
      <w:proofErr w:type="gramEnd"/>
      <w:r w:rsidR="0063464A" w:rsidRPr="00DB68D1">
        <w:rPr>
          <w:rFonts w:ascii="Cambria" w:hAnsi="Cambria" w:cstheme="minorHAnsi"/>
          <w:color w:val="000000"/>
          <w:shd w:val="clear" w:color="auto" w:fill="FFFFFF"/>
        </w:rPr>
        <w:t xml:space="preserve"> part or all of it, the Legislature may vote to override the veto.  </w:t>
      </w:r>
      <w:r w:rsidR="0063464A">
        <w:rPr>
          <w:rFonts w:ascii="Cambria" w:hAnsi="Cambria" w:cstheme="minorHAnsi"/>
          <w:color w:val="000000"/>
          <w:shd w:val="clear" w:color="auto" w:fill="FFFFFF"/>
        </w:rPr>
        <w:t>The</w:t>
      </w:r>
      <w:r w:rsidR="0063464A" w:rsidRPr="00DB68D1">
        <w:rPr>
          <w:rFonts w:ascii="Cambria" w:hAnsi="Cambria" w:cstheme="minorHAnsi"/>
          <w:color w:val="000000"/>
          <w:shd w:val="clear" w:color="auto" w:fill="FFFFFF"/>
        </w:rPr>
        <w:t xml:space="preserve"> Governor has </w:t>
      </w:r>
      <w:r w:rsidR="0063464A" w:rsidRPr="00DB68D1">
        <w:rPr>
          <w:rFonts w:ascii="Cambria" w:hAnsi="Cambria" w:cstheme="minorHAnsi"/>
          <w:color w:val="222222"/>
          <w:shd w:val="clear" w:color="auto" w:fill="FFFFFF"/>
        </w:rPr>
        <w:t xml:space="preserve">20 days after the Legislature adjourns to </w:t>
      </w:r>
      <w:proofErr w:type="gramStart"/>
      <w:r w:rsidR="0063464A" w:rsidRPr="00DB68D1">
        <w:rPr>
          <w:rFonts w:ascii="Cambria" w:hAnsi="Cambria" w:cstheme="minorHAnsi"/>
          <w:color w:val="222222"/>
          <w:shd w:val="clear" w:color="auto" w:fill="FFFFFF"/>
        </w:rPr>
        <w:t>take action</w:t>
      </w:r>
      <w:proofErr w:type="gramEnd"/>
      <w:r w:rsidR="0063464A" w:rsidRPr="00DB68D1">
        <w:rPr>
          <w:rFonts w:ascii="Cambria" w:hAnsi="Cambria" w:cstheme="minorHAnsi"/>
          <w:color w:val="222222"/>
          <w:shd w:val="clear" w:color="auto" w:fill="FFFFFF"/>
        </w:rPr>
        <w:t>.</w:t>
      </w:r>
    </w:p>
    <w:p w14:paraId="78739DD5" w14:textId="77777777" w:rsidR="0063464A" w:rsidRPr="0063464A" w:rsidRDefault="0063464A" w:rsidP="0063464A">
      <w:pPr>
        <w:pStyle w:val="NormalWeb"/>
        <w:shd w:val="clear" w:color="auto" w:fill="FFFFFF"/>
        <w:spacing w:before="0" w:beforeAutospacing="0" w:after="0" w:afterAutospacing="0"/>
        <w:contextualSpacing/>
        <w:rPr>
          <w:rFonts w:ascii="Cambria" w:hAnsi="Cambria" w:cstheme="minorHAnsi"/>
          <w:color w:val="222222"/>
          <w:shd w:val="clear" w:color="auto" w:fill="FFFFFF"/>
        </w:rPr>
      </w:pPr>
    </w:p>
    <w:p w14:paraId="025233B7" w14:textId="5FE657B2" w:rsidR="00250018" w:rsidRPr="00A30477" w:rsidRDefault="00250018" w:rsidP="00250018">
      <w:pPr>
        <w:rPr>
          <w:rFonts w:ascii="Cambria" w:hAnsi="Cambria" w:cstheme="minorHAnsi"/>
        </w:rPr>
      </w:pPr>
      <w:r w:rsidRPr="00A30477">
        <w:rPr>
          <w:rFonts w:ascii="Cambria" w:hAnsi="Cambria" w:cstheme="minorHAnsi"/>
        </w:rPr>
        <w:t>Not surprisingly, legislators will pivot almost immediately to the campaign trail.  This year is a major election year with the entire House and half the Senate appearing on the November ballot.  There will be a fair number of open seats, with about a dozen legislators announcing their retirement in the last days of session</w:t>
      </w:r>
      <w:r>
        <w:rPr>
          <w:rFonts w:ascii="Cambria" w:hAnsi="Cambria" w:cstheme="minorHAnsi"/>
        </w:rPr>
        <w:t xml:space="preserve"> (and there could be more)</w:t>
      </w:r>
      <w:r w:rsidRPr="00A30477">
        <w:rPr>
          <w:rFonts w:ascii="Cambria" w:hAnsi="Cambria" w:cstheme="minorHAnsi"/>
        </w:rPr>
        <w:t>.  These include Senators Brown (8</w:t>
      </w:r>
      <w:r w:rsidRPr="00A30477">
        <w:rPr>
          <w:rFonts w:ascii="Cambria" w:hAnsi="Cambria" w:cstheme="minorHAnsi"/>
          <w:vertAlign w:val="superscript"/>
        </w:rPr>
        <w:t>th</w:t>
      </w:r>
      <w:r w:rsidRPr="00A30477">
        <w:rPr>
          <w:rFonts w:ascii="Cambria" w:hAnsi="Cambria" w:cstheme="minorHAnsi"/>
        </w:rPr>
        <w:t>), Carlyle (36</w:t>
      </w:r>
      <w:r w:rsidRPr="00A30477">
        <w:rPr>
          <w:rFonts w:ascii="Cambria" w:hAnsi="Cambria" w:cstheme="minorHAnsi"/>
          <w:vertAlign w:val="superscript"/>
        </w:rPr>
        <w:t>th</w:t>
      </w:r>
      <w:r w:rsidRPr="00A30477">
        <w:rPr>
          <w:rFonts w:ascii="Cambria" w:hAnsi="Cambria" w:cstheme="minorHAnsi"/>
        </w:rPr>
        <w:t xml:space="preserve">), </w:t>
      </w:r>
      <w:proofErr w:type="spellStart"/>
      <w:r w:rsidRPr="00A30477">
        <w:rPr>
          <w:rFonts w:ascii="Cambria" w:hAnsi="Cambria" w:cstheme="minorHAnsi"/>
        </w:rPr>
        <w:t>Frockt</w:t>
      </w:r>
      <w:proofErr w:type="spellEnd"/>
      <w:r w:rsidRPr="00A30477">
        <w:rPr>
          <w:rFonts w:ascii="Cambria" w:hAnsi="Cambria" w:cstheme="minorHAnsi"/>
        </w:rPr>
        <w:t xml:space="preserve"> (46</w:t>
      </w:r>
      <w:r w:rsidRPr="00A30477">
        <w:rPr>
          <w:rFonts w:ascii="Cambria" w:hAnsi="Cambria" w:cstheme="minorHAnsi"/>
          <w:vertAlign w:val="superscript"/>
        </w:rPr>
        <w:t>th</w:t>
      </w:r>
      <w:r w:rsidRPr="00A30477">
        <w:rPr>
          <w:rFonts w:ascii="Cambria" w:hAnsi="Cambria" w:cstheme="minorHAnsi"/>
        </w:rPr>
        <w:t>) and Sheldon</w:t>
      </w:r>
      <w:r w:rsidR="00BF1195">
        <w:rPr>
          <w:rFonts w:ascii="Cambria" w:hAnsi="Cambria" w:cstheme="minorHAnsi"/>
        </w:rPr>
        <w:t xml:space="preserve"> </w:t>
      </w:r>
      <w:r w:rsidR="00BF1195" w:rsidRPr="00A30477">
        <w:rPr>
          <w:rFonts w:ascii="Cambria" w:hAnsi="Cambria" w:cstheme="minorHAnsi"/>
        </w:rPr>
        <w:t>(35</w:t>
      </w:r>
      <w:r w:rsidR="00BF1195" w:rsidRPr="00A30477">
        <w:rPr>
          <w:rFonts w:ascii="Cambria" w:hAnsi="Cambria" w:cstheme="minorHAnsi"/>
          <w:vertAlign w:val="superscript"/>
        </w:rPr>
        <w:t>th</w:t>
      </w:r>
      <w:r w:rsidR="00BF1195" w:rsidRPr="00A30477">
        <w:rPr>
          <w:rFonts w:ascii="Cambria" w:hAnsi="Cambria" w:cstheme="minorHAnsi"/>
        </w:rPr>
        <w:t>)</w:t>
      </w:r>
      <w:r w:rsidRPr="00A30477">
        <w:rPr>
          <w:rFonts w:ascii="Cambria" w:hAnsi="Cambria" w:cstheme="minorHAnsi"/>
        </w:rPr>
        <w:t>.  In the House, retiring legislators include Representatives Dolan (22</w:t>
      </w:r>
      <w:r w:rsidRPr="00A30477">
        <w:rPr>
          <w:rFonts w:ascii="Cambria" w:hAnsi="Cambria" w:cstheme="minorHAnsi"/>
          <w:vertAlign w:val="superscript"/>
        </w:rPr>
        <w:t>nd</w:t>
      </w:r>
      <w:r w:rsidRPr="00A30477">
        <w:rPr>
          <w:rFonts w:ascii="Cambria" w:hAnsi="Cambria" w:cstheme="minorHAnsi"/>
        </w:rPr>
        <w:t xml:space="preserve">), </w:t>
      </w:r>
      <w:proofErr w:type="spellStart"/>
      <w:r w:rsidRPr="00A30477">
        <w:rPr>
          <w:rFonts w:ascii="Cambria" w:hAnsi="Cambria" w:cstheme="minorHAnsi"/>
        </w:rPr>
        <w:t>Dufault</w:t>
      </w:r>
      <w:proofErr w:type="spellEnd"/>
      <w:r w:rsidRPr="00A30477">
        <w:rPr>
          <w:rFonts w:ascii="Cambria" w:hAnsi="Cambria" w:cstheme="minorHAnsi"/>
        </w:rPr>
        <w:t xml:space="preserve"> (15</w:t>
      </w:r>
      <w:r w:rsidRPr="00A30477">
        <w:rPr>
          <w:rFonts w:ascii="Cambria" w:hAnsi="Cambria" w:cstheme="minorHAnsi"/>
          <w:vertAlign w:val="superscript"/>
        </w:rPr>
        <w:t>th</w:t>
      </w:r>
      <w:r w:rsidRPr="00A30477">
        <w:rPr>
          <w:rFonts w:ascii="Cambria" w:hAnsi="Cambria" w:cstheme="minorHAnsi"/>
        </w:rPr>
        <w:t>), Johnson (30</w:t>
      </w:r>
      <w:r w:rsidRPr="00A30477">
        <w:rPr>
          <w:rFonts w:ascii="Cambria" w:hAnsi="Cambria" w:cstheme="minorHAnsi"/>
          <w:vertAlign w:val="superscript"/>
        </w:rPr>
        <w:t>th</w:t>
      </w:r>
      <w:r w:rsidRPr="00A30477">
        <w:rPr>
          <w:rFonts w:ascii="Cambria" w:hAnsi="Cambria" w:cstheme="minorHAnsi"/>
        </w:rPr>
        <w:t>), Kirby (29</w:t>
      </w:r>
      <w:r w:rsidRPr="00A30477">
        <w:rPr>
          <w:rFonts w:ascii="Cambria" w:hAnsi="Cambria" w:cstheme="minorHAnsi"/>
          <w:vertAlign w:val="superscript"/>
        </w:rPr>
        <w:t>th</w:t>
      </w:r>
      <w:r w:rsidRPr="00A30477">
        <w:rPr>
          <w:rFonts w:ascii="Cambria" w:hAnsi="Cambria" w:cstheme="minorHAnsi"/>
        </w:rPr>
        <w:t>), Sells (38</w:t>
      </w:r>
      <w:r w:rsidRPr="00A30477">
        <w:rPr>
          <w:rFonts w:ascii="Cambria" w:hAnsi="Cambria" w:cstheme="minorHAnsi"/>
          <w:vertAlign w:val="superscript"/>
        </w:rPr>
        <w:t>th</w:t>
      </w:r>
      <w:r w:rsidRPr="00A30477">
        <w:rPr>
          <w:rFonts w:ascii="Cambria" w:hAnsi="Cambria" w:cstheme="minorHAnsi"/>
        </w:rPr>
        <w:t xml:space="preserve">), </w:t>
      </w:r>
      <w:r>
        <w:rPr>
          <w:rFonts w:ascii="Cambria" w:hAnsi="Cambria" w:cstheme="minorHAnsi"/>
        </w:rPr>
        <w:t xml:space="preserve">and </w:t>
      </w:r>
      <w:r w:rsidRPr="00A30477">
        <w:rPr>
          <w:rFonts w:ascii="Cambria" w:hAnsi="Cambria" w:cstheme="minorHAnsi"/>
        </w:rPr>
        <w:t>Sullivan (47</w:t>
      </w:r>
      <w:r w:rsidRPr="00A30477">
        <w:rPr>
          <w:rFonts w:ascii="Cambria" w:hAnsi="Cambria" w:cstheme="minorHAnsi"/>
          <w:vertAlign w:val="superscript"/>
        </w:rPr>
        <w:t>th</w:t>
      </w:r>
      <w:r w:rsidRPr="00A30477">
        <w:rPr>
          <w:rFonts w:ascii="Cambria" w:hAnsi="Cambria" w:cstheme="minorHAnsi"/>
        </w:rPr>
        <w:t xml:space="preserve">).  Representatives </w:t>
      </w:r>
      <w:proofErr w:type="spellStart"/>
      <w:r w:rsidRPr="00A30477">
        <w:rPr>
          <w:rFonts w:ascii="Cambria" w:hAnsi="Cambria" w:cstheme="minorHAnsi"/>
        </w:rPr>
        <w:t>Klippert</w:t>
      </w:r>
      <w:proofErr w:type="spellEnd"/>
      <w:r w:rsidRPr="00A30477">
        <w:rPr>
          <w:rFonts w:ascii="Cambria" w:hAnsi="Cambria" w:cstheme="minorHAnsi"/>
        </w:rPr>
        <w:t xml:space="preserve"> (8</w:t>
      </w:r>
      <w:r w:rsidRPr="00A30477">
        <w:rPr>
          <w:rFonts w:ascii="Cambria" w:hAnsi="Cambria" w:cstheme="minorHAnsi"/>
          <w:vertAlign w:val="superscript"/>
        </w:rPr>
        <w:t>th</w:t>
      </w:r>
      <w:r w:rsidRPr="00A30477">
        <w:rPr>
          <w:rFonts w:ascii="Cambria" w:hAnsi="Cambria" w:cstheme="minorHAnsi"/>
        </w:rPr>
        <w:t>) and Kraft (17</w:t>
      </w:r>
      <w:r w:rsidRPr="00A30477">
        <w:rPr>
          <w:rFonts w:ascii="Cambria" w:hAnsi="Cambria" w:cstheme="minorHAnsi"/>
          <w:vertAlign w:val="superscript"/>
        </w:rPr>
        <w:t>th</w:t>
      </w:r>
      <w:r w:rsidRPr="00A30477">
        <w:rPr>
          <w:rFonts w:ascii="Cambria" w:hAnsi="Cambria" w:cstheme="minorHAnsi"/>
        </w:rPr>
        <w:t xml:space="preserve">) have announced their plans to run for Congress.  Representatives </w:t>
      </w:r>
      <w:proofErr w:type="spellStart"/>
      <w:r w:rsidRPr="00A30477">
        <w:rPr>
          <w:rFonts w:ascii="Cambria" w:hAnsi="Cambria" w:cstheme="minorHAnsi"/>
        </w:rPr>
        <w:t>Boehnke</w:t>
      </w:r>
      <w:proofErr w:type="spellEnd"/>
      <w:r w:rsidRPr="00A30477">
        <w:rPr>
          <w:rFonts w:ascii="Cambria" w:hAnsi="Cambria" w:cstheme="minorHAnsi"/>
        </w:rPr>
        <w:t xml:space="preserve"> (8</w:t>
      </w:r>
      <w:r w:rsidRPr="00A30477">
        <w:rPr>
          <w:rFonts w:ascii="Cambria" w:hAnsi="Cambria" w:cstheme="minorHAnsi"/>
          <w:vertAlign w:val="superscript"/>
        </w:rPr>
        <w:t>th</w:t>
      </w:r>
      <w:r w:rsidRPr="00A30477">
        <w:rPr>
          <w:rFonts w:ascii="Cambria" w:hAnsi="Cambria" w:cstheme="minorHAnsi"/>
        </w:rPr>
        <w:t>), Frame (36</w:t>
      </w:r>
      <w:r w:rsidRPr="00A30477">
        <w:rPr>
          <w:rFonts w:ascii="Cambria" w:hAnsi="Cambria" w:cstheme="minorHAnsi"/>
          <w:vertAlign w:val="superscript"/>
        </w:rPr>
        <w:t>th</w:t>
      </w:r>
      <w:r w:rsidRPr="00A30477">
        <w:rPr>
          <w:rFonts w:ascii="Cambria" w:hAnsi="Cambria" w:cstheme="minorHAnsi"/>
        </w:rPr>
        <w:t xml:space="preserve">), </w:t>
      </w:r>
      <w:proofErr w:type="spellStart"/>
      <w:r w:rsidRPr="00A30477">
        <w:rPr>
          <w:rFonts w:ascii="Cambria" w:hAnsi="Cambria" w:cstheme="minorHAnsi"/>
        </w:rPr>
        <w:t>MacEwen</w:t>
      </w:r>
      <w:proofErr w:type="spellEnd"/>
      <w:r w:rsidRPr="00A30477">
        <w:rPr>
          <w:rFonts w:ascii="Cambria" w:hAnsi="Cambria" w:cstheme="minorHAnsi"/>
        </w:rPr>
        <w:t xml:space="preserve"> (35</w:t>
      </w:r>
      <w:r w:rsidRPr="00A30477">
        <w:rPr>
          <w:rFonts w:ascii="Cambria" w:hAnsi="Cambria" w:cstheme="minorHAnsi"/>
          <w:vertAlign w:val="superscript"/>
        </w:rPr>
        <w:t>th</w:t>
      </w:r>
      <w:r w:rsidRPr="00A30477">
        <w:rPr>
          <w:rFonts w:ascii="Cambria" w:hAnsi="Cambria" w:cstheme="minorHAnsi"/>
        </w:rPr>
        <w:t xml:space="preserve">), </w:t>
      </w:r>
      <w:proofErr w:type="spellStart"/>
      <w:r w:rsidRPr="00A30477">
        <w:rPr>
          <w:rFonts w:ascii="Cambria" w:hAnsi="Cambria" w:cstheme="minorHAnsi"/>
        </w:rPr>
        <w:t>Shewmake</w:t>
      </w:r>
      <w:proofErr w:type="spellEnd"/>
      <w:r w:rsidRPr="00A30477">
        <w:rPr>
          <w:rFonts w:ascii="Cambria" w:hAnsi="Cambria" w:cstheme="minorHAnsi"/>
        </w:rPr>
        <w:t xml:space="preserve"> (42</w:t>
      </w:r>
      <w:r w:rsidRPr="00A30477">
        <w:rPr>
          <w:rFonts w:ascii="Cambria" w:hAnsi="Cambria" w:cstheme="minorHAnsi"/>
          <w:vertAlign w:val="superscript"/>
        </w:rPr>
        <w:t>nd</w:t>
      </w:r>
      <w:r w:rsidRPr="00A30477">
        <w:rPr>
          <w:rFonts w:ascii="Cambria" w:hAnsi="Cambria" w:cstheme="minorHAnsi"/>
        </w:rPr>
        <w:t>), and Valdez (46</w:t>
      </w:r>
      <w:r w:rsidRPr="00A30477">
        <w:rPr>
          <w:rFonts w:ascii="Cambria" w:hAnsi="Cambria" w:cstheme="minorHAnsi"/>
          <w:vertAlign w:val="superscript"/>
        </w:rPr>
        <w:t>th</w:t>
      </w:r>
      <w:r w:rsidRPr="00A30477">
        <w:rPr>
          <w:rFonts w:ascii="Cambria" w:hAnsi="Cambria" w:cstheme="minorHAnsi"/>
        </w:rPr>
        <w:t>) will be running for open seats in the Senate.</w:t>
      </w:r>
    </w:p>
    <w:bookmarkEnd w:id="0"/>
    <w:bookmarkEnd w:id="1"/>
    <w:p w14:paraId="2696A708" w14:textId="77777777" w:rsidR="00250018" w:rsidRDefault="00250018" w:rsidP="00250018"/>
    <w:p w14:paraId="7C92B68C" w14:textId="626CD4E9" w:rsidR="00250018" w:rsidRDefault="00250018" w:rsidP="00250018">
      <w:pPr>
        <w:pStyle w:val="Heading2"/>
      </w:pPr>
      <w:r>
        <w:lastRenderedPageBreak/>
        <w:t>WSLHA</w:t>
      </w:r>
      <w:r>
        <w:t xml:space="preserve"> Priority Bill Recap</w:t>
      </w:r>
    </w:p>
    <w:p w14:paraId="2B2C3704" w14:textId="77777777" w:rsidR="00250018" w:rsidRDefault="00250018" w:rsidP="00250018"/>
    <w:p w14:paraId="5A476DEB" w14:textId="2B313F0E" w:rsidR="00250018" w:rsidRDefault="00250018" w:rsidP="00250018">
      <w:pPr>
        <w:rPr>
          <w:rFonts w:cstheme="minorHAnsi"/>
        </w:rPr>
      </w:pPr>
      <w:r>
        <w:fldChar w:fldCharType="begin"/>
      </w:r>
      <w:r>
        <w:instrText xml:space="preserve"> HYPERLINK "https://app.leg.wa.gov/billsummary?BillNumber=1043&amp;Initiative=false&amp;Year=2021" </w:instrText>
      </w:r>
      <w:r>
        <w:fldChar w:fldCharType="separate"/>
      </w:r>
      <w:r w:rsidRPr="00595248">
        <w:rPr>
          <w:rStyle w:val="Hyperlink"/>
        </w:rPr>
        <w:t>HB 1043</w:t>
      </w:r>
      <w:r w:rsidRPr="00595248">
        <w:rPr>
          <w:rStyle w:val="Hyperlink"/>
        </w:rPr>
        <w:fldChar w:fldCharType="end"/>
      </w:r>
      <w:r w:rsidRPr="00595248">
        <w:t xml:space="preserve"> is the bill </w:t>
      </w:r>
      <w:r w:rsidRPr="00595248">
        <w:rPr>
          <w:rFonts w:cstheme="minorHAnsi"/>
          <w:bCs/>
        </w:rPr>
        <w:t>establish</w:t>
      </w:r>
      <w:r w:rsidR="00CC4B52">
        <w:rPr>
          <w:rFonts w:cstheme="minorHAnsi"/>
          <w:bCs/>
        </w:rPr>
        <w:t>ing</w:t>
      </w:r>
      <w:r w:rsidRPr="00595248">
        <w:rPr>
          <w:rFonts w:cstheme="minorHAnsi"/>
          <w:bCs/>
        </w:rPr>
        <w:t xml:space="preserve"> Washington as a member of the </w:t>
      </w:r>
      <w:r w:rsidRPr="00595248">
        <w:rPr>
          <w:rFonts w:cstheme="minorHAnsi"/>
          <w:b/>
        </w:rPr>
        <w:t>Audiology &amp; Speech-Language Pathology Compact (ASLP-IC).</w:t>
      </w:r>
      <w:r w:rsidRPr="00595248">
        <w:rPr>
          <w:rFonts w:cstheme="minorHAnsi"/>
          <w:bCs/>
        </w:rPr>
        <w:t xml:space="preserve">  </w:t>
      </w:r>
      <w:r w:rsidRPr="00595248">
        <w:rPr>
          <w:rFonts w:cstheme="minorHAnsi"/>
        </w:rPr>
        <w:t xml:space="preserve">The Compact facilitates the practice of audiology and speech-language pathology by securing a privilege to practice in a member state or through telehealth. </w:t>
      </w:r>
      <w:r w:rsidR="00066031">
        <w:rPr>
          <w:rFonts w:cstheme="minorHAnsi"/>
        </w:rPr>
        <w:t xml:space="preserve"> It passed </w:t>
      </w:r>
      <w:r w:rsidR="006C2F85">
        <w:rPr>
          <w:rFonts w:cstheme="minorHAnsi"/>
        </w:rPr>
        <w:t>the House Health Care &amp; Wellness Committee, but unfortunately did not pass the House.</w:t>
      </w:r>
      <w:r w:rsidRPr="00595248">
        <w:rPr>
          <w:rFonts w:cstheme="minorHAnsi"/>
        </w:rPr>
        <w:t xml:space="preserve"> </w:t>
      </w:r>
    </w:p>
    <w:p w14:paraId="5D644C45" w14:textId="6BCEE87A" w:rsidR="00CC4B52" w:rsidRDefault="00CC4B52" w:rsidP="00250018">
      <w:pPr>
        <w:rPr>
          <w:rFonts w:cstheme="minorHAnsi"/>
        </w:rPr>
      </w:pPr>
    </w:p>
    <w:p w14:paraId="2B0C67F3" w14:textId="3206E4FF" w:rsidR="00CC4B52" w:rsidRDefault="00CC4B52" w:rsidP="00CC4B52">
      <w:pPr>
        <w:rPr>
          <w:rFonts w:cstheme="minorHAnsi"/>
        </w:rPr>
      </w:pPr>
      <w:hyperlink r:id="rId7" w:history="1">
        <w:r w:rsidRPr="00DD578F">
          <w:rPr>
            <w:rStyle w:val="Hyperlink"/>
          </w:rPr>
          <w:t>HB 1592</w:t>
        </w:r>
      </w:hyperlink>
      <w:r>
        <w:t xml:space="preserve">- Concerning </w:t>
      </w:r>
      <w:r w:rsidRPr="006A7ACD">
        <w:rPr>
          <w:b/>
          <w:bCs/>
        </w:rPr>
        <w:t>military spouse employment</w:t>
      </w:r>
      <w:r>
        <w:t>.  This bill requires the Department of Health (DOH) to issue a license to a military spouse within 30 days of a completed application.</w:t>
      </w:r>
      <w:r>
        <w:t xml:space="preserve">  </w:t>
      </w:r>
      <w:r>
        <w:rPr>
          <w:rFonts w:cstheme="minorHAnsi"/>
        </w:rPr>
        <w:t xml:space="preserve">It passed the House </w:t>
      </w:r>
      <w:r w:rsidR="00CA3FF8">
        <w:rPr>
          <w:rFonts w:cstheme="minorHAnsi"/>
        </w:rPr>
        <w:t>Housing, Human Services &amp; Veterans</w:t>
      </w:r>
      <w:r>
        <w:rPr>
          <w:rFonts w:cstheme="minorHAnsi"/>
        </w:rPr>
        <w:t xml:space="preserve"> </w:t>
      </w:r>
      <w:proofErr w:type="gramStart"/>
      <w:r>
        <w:rPr>
          <w:rFonts w:cstheme="minorHAnsi"/>
        </w:rPr>
        <w:t>Committee</w:t>
      </w:r>
      <w:proofErr w:type="gramEnd"/>
      <w:r w:rsidR="00CA3FF8">
        <w:rPr>
          <w:rFonts w:cstheme="minorHAnsi"/>
        </w:rPr>
        <w:t xml:space="preserve"> and the House Appropriations Committee</w:t>
      </w:r>
      <w:r>
        <w:rPr>
          <w:rFonts w:cstheme="minorHAnsi"/>
        </w:rPr>
        <w:t>, but did not pass the House.</w:t>
      </w:r>
      <w:r w:rsidRPr="00595248">
        <w:rPr>
          <w:rFonts w:cstheme="minorHAnsi"/>
        </w:rPr>
        <w:t xml:space="preserve"> </w:t>
      </w:r>
    </w:p>
    <w:p w14:paraId="0150A592" w14:textId="77777777" w:rsidR="00250018" w:rsidRDefault="00250018" w:rsidP="00250018">
      <w:pPr>
        <w:rPr>
          <w:rFonts w:cstheme="minorHAnsi"/>
        </w:rPr>
      </w:pPr>
    </w:p>
    <w:p w14:paraId="0DEC7350" w14:textId="10F84681" w:rsidR="00250018" w:rsidRPr="006C2F85" w:rsidRDefault="00250018" w:rsidP="00250018">
      <w:pPr>
        <w:rPr>
          <w:rFonts w:eastAsia="Times New Roman" w:cs="Times New Roman"/>
        </w:rPr>
      </w:pPr>
      <w:hyperlink r:id="rId8" w:history="1">
        <w:r w:rsidRPr="006C2F85">
          <w:rPr>
            <w:rStyle w:val="Hyperlink"/>
            <w:rFonts w:cstheme="minorHAnsi"/>
          </w:rPr>
          <w:t>HB 1854</w:t>
        </w:r>
      </w:hyperlink>
      <w:r w:rsidRPr="006C2F85">
        <w:rPr>
          <w:rFonts w:cstheme="minorHAnsi"/>
        </w:rPr>
        <w:t xml:space="preserve"> </w:t>
      </w:r>
      <w:r w:rsidRPr="006C2F85">
        <w:rPr>
          <w:rFonts w:cstheme="minorHAnsi"/>
          <w:color w:val="000000" w:themeColor="text1"/>
          <w:shd w:val="clear" w:color="auto" w:fill="FFFFFF"/>
        </w:rPr>
        <w:t xml:space="preserve">requires </w:t>
      </w:r>
      <w:r w:rsidRPr="006C2F85">
        <w:rPr>
          <w:rFonts w:eastAsia="Times New Roman" w:cs="Times New Roman"/>
        </w:rPr>
        <w:t xml:space="preserve">health carriers to cover hearing instruments for health plans issued or renewed on or after January 1, 2023.  This bill was heard in the House Health Care &amp; Wellness Committee but was not voted out </w:t>
      </w:r>
      <w:r w:rsidR="006C2F85">
        <w:rPr>
          <w:rFonts w:eastAsia="Times New Roman" w:cs="Times New Roman"/>
        </w:rPr>
        <w:t>of</w:t>
      </w:r>
      <w:r w:rsidRPr="006C2F85">
        <w:rPr>
          <w:rFonts w:eastAsia="Times New Roman" w:cs="Times New Roman"/>
        </w:rPr>
        <w:t xml:space="preserve"> that committee.  It died in the House.  </w:t>
      </w:r>
    </w:p>
    <w:p w14:paraId="6BD4A648" w14:textId="57FC0447" w:rsidR="00066031" w:rsidRDefault="00066031" w:rsidP="00250018">
      <w:pPr>
        <w:rPr>
          <w:rFonts w:ascii="Times New Roman" w:eastAsia="Times New Roman" w:hAnsi="Times New Roman" w:cs="Times New Roman"/>
        </w:rPr>
      </w:pPr>
    </w:p>
    <w:p w14:paraId="7A3CF5D3" w14:textId="5F580918" w:rsidR="00066031" w:rsidRPr="00066031" w:rsidRDefault="00066031" w:rsidP="00066031">
      <w:pPr>
        <w:pStyle w:val="ListParagraphPHPDOCX"/>
        <w:ind w:left="0"/>
      </w:pPr>
      <w:hyperlink r:id="rId9" w:history="1">
        <w:r w:rsidRPr="007E56D2">
          <w:rPr>
            <w:rStyle w:val="Hyperlink"/>
            <w:rFonts w:eastAsia="Times New Roman" w:cs="Calibri"/>
          </w:rPr>
          <w:t>SB 5753</w:t>
        </w:r>
      </w:hyperlink>
      <w:r>
        <w:rPr>
          <w:rFonts w:eastAsia="Times New Roman" w:cs="Calibri"/>
          <w:color w:val="000000"/>
        </w:rPr>
        <w:t xml:space="preserve"> makes changes to </w:t>
      </w:r>
      <w:r w:rsidRPr="00E77B7B">
        <w:rPr>
          <w:rFonts w:eastAsia="Times New Roman" w:cs="Calibri"/>
          <w:b/>
          <w:bCs/>
          <w:color w:val="000000"/>
        </w:rPr>
        <w:t>boards and commissions</w:t>
      </w:r>
      <w:r>
        <w:rPr>
          <w:rFonts w:eastAsia="Times New Roman" w:cs="Calibri"/>
          <w:color w:val="000000"/>
        </w:rPr>
        <w:t xml:space="preserve"> at the Department of Health, including the Board of Hearing &amp; Speech (BOHS).  This bill increases the compensation for BOHS members and clarifies its definition of a quorum.  </w:t>
      </w:r>
      <w:r w:rsidRPr="00252396">
        <w:t xml:space="preserve">This bill </w:t>
      </w:r>
      <w:r>
        <w:t xml:space="preserve">has passed the House and Senate and is on its way to the Governor for his action.  </w:t>
      </w:r>
    </w:p>
    <w:p w14:paraId="43106A0D" w14:textId="77777777" w:rsidR="00250018" w:rsidRPr="004C4141" w:rsidRDefault="00250018" w:rsidP="00250018">
      <w:pPr>
        <w:rPr>
          <w:rFonts w:ascii="Times New Roman" w:eastAsia="Times New Roman" w:hAnsi="Times New Roman" w:cs="Times New Roman"/>
        </w:rPr>
      </w:pPr>
    </w:p>
    <w:p w14:paraId="67C15D95" w14:textId="0A550564" w:rsidR="00250018" w:rsidRDefault="00250018" w:rsidP="00250018">
      <w:pPr>
        <w:pStyle w:val="ListParagraphPHPDOCX"/>
        <w:ind w:left="0"/>
      </w:pPr>
      <w:r>
        <w:fldChar w:fldCharType="begin"/>
      </w:r>
      <w:r>
        <w:instrText xml:space="preserve"> HYPERLINK "https://app.leg.wa.gov/billsummary?BillNumber=5848&amp;Year=2021&amp;Initiative=false" </w:instrText>
      </w:r>
      <w:r>
        <w:fldChar w:fldCharType="separate"/>
      </w:r>
      <w:r w:rsidRPr="004C4141">
        <w:rPr>
          <w:rStyle w:val="Hyperlink"/>
        </w:rPr>
        <w:t>SB 5848</w:t>
      </w:r>
      <w:r>
        <w:fldChar w:fldCharType="end"/>
      </w:r>
      <w:r>
        <w:t xml:space="preserve"> licenses </w:t>
      </w:r>
      <w:r w:rsidRPr="007014C5">
        <w:rPr>
          <w:b/>
          <w:bCs/>
        </w:rPr>
        <w:t>music therapists</w:t>
      </w:r>
      <w:r>
        <w:t xml:space="preserve">.  Initially, WSLHA testified against this bill.  However, during negotiations with the music therapists, </w:t>
      </w:r>
      <w:r w:rsidR="00C25FD6">
        <w:t xml:space="preserve">we </w:t>
      </w:r>
      <w:r>
        <w:t xml:space="preserve">reached </w:t>
      </w:r>
      <w:r w:rsidR="00C25FD6">
        <w:t xml:space="preserve">agreement </w:t>
      </w:r>
      <w:r>
        <w:t>on an amendment that reflects the agreement on the national level between ASHA and the American Music Therapy Association (AMTA).  This includes language that:</w:t>
      </w:r>
    </w:p>
    <w:p w14:paraId="00301205" w14:textId="77777777" w:rsidR="00250018" w:rsidRDefault="00250018" w:rsidP="00250018">
      <w:pPr>
        <w:pStyle w:val="ListParagraph"/>
        <w:numPr>
          <w:ilvl w:val="1"/>
          <w:numId w:val="10"/>
        </w:numPr>
        <w:rPr>
          <w:rFonts w:eastAsia="Times New Roman" w:cs="Times New Roman"/>
          <w:sz w:val="24"/>
          <w:szCs w:val="24"/>
        </w:rPr>
      </w:pPr>
      <w:r w:rsidRPr="006C04F7">
        <w:rPr>
          <w:rFonts w:eastAsia="Times New Roman" w:cs="Times New Roman"/>
          <w:sz w:val="24"/>
          <w:szCs w:val="24"/>
        </w:rPr>
        <w:t xml:space="preserve">Clarifies that music therapists may not evaluate, examine, instruct, or counsel on speech language, communication, and swallowing disorders and conditions. </w:t>
      </w:r>
    </w:p>
    <w:p w14:paraId="4F300B14" w14:textId="77777777" w:rsidR="00250018" w:rsidRDefault="00250018" w:rsidP="00250018">
      <w:pPr>
        <w:pStyle w:val="ListParagraph"/>
        <w:numPr>
          <w:ilvl w:val="1"/>
          <w:numId w:val="10"/>
        </w:numPr>
        <w:rPr>
          <w:rFonts w:eastAsia="Times New Roman" w:cs="Times New Roman"/>
          <w:sz w:val="24"/>
          <w:szCs w:val="24"/>
        </w:rPr>
      </w:pPr>
      <w:r w:rsidRPr="006C04F7">
        <w:rPr>
          <w:rFonts w:eastAsia="Times New Roman" w:cs="Times New Roman"/>
          <w:sz w:val="24"/>
          <w:szCs w:val="24"/>
        </w:rPr>
        <w:t>Prohibits licensed music therapists from representing to the public that the individual is authorized to treat a communication disorder and clarifies that it does not prohibit the licensed music therapist from working with clients who have a communication disorder and address communication skills</w:t>
      </w:r>
      <w:r>
        <w:rPr>
          <w:rFonts w:eastAsia="Times New Roman" w:cs="Times New Roman"/>
          <w:sz w:val="24"/>
          <w:szCs w:val="24"/>
        </w:rPr>
        <w:t>.</w:t>
      </w:r>
    </w:p>
    <w:p w14:paraId="0125E021" w14:textId="77777777" w:rsidR="00250018" w:rsidRDefault="00250018" w:rsidP="00250018">
      <w:pPr>
        <w:pStyle w:val="ListParagraph"/>
        <w:numPr>
          <w:ilvl w:val="1"/>
          <w:numId w:val="10"/>
        </w:numPr>
        <w:rPr>
          <w:rFonts w:eastAsia="Times New Roman" w:cs="Times New Roman"/>
          <w:sz w:val="24"/>
          <w:szCs w:val="24"/>
        </w:rPr>
      </w:pPr>
      <w:r w:rsidRPr="006C04F7">
        <w:rPr>
          <w:rFonts w:eastAsia="Times New Roman" w:cs="Times New Roman"/>
          <w:sz w:val="24"/>
          <w:szCs w:val="24"/>
        </w:rPr>
        <w:t xml:space="preserve">Requires that before providing music therapy services, music therapists must review the client's diagnosis, treatment needs, and treatment with the health care providers involved in the client's care. </w:t>
      </w:r>
    </w:p>
    <w:p w14:paraId="2513F608" w14:textId="73C19A5E" w:rsidR="00250018" w:rsidRDefault="00250018" w:rsidP="00250018">
      <w:pPr>
        <w:pStyle w:val="ListParagraph"/>
        <w:numPr>
          <w:ilvl w:val="1"/>
          <w:numId w:val="10"/>
        </w:numPr>
        <w:rPr>
          <w:rFonts w:eastAsia="Times New Roman" w:cs="Times New Roman"/>
          <w:sz w:val="24"/>
          <w:szCs w:val="24"/>
        </w:rPr>
      </w:pPr>
      <w:r w:rsidRPr="006C04F7">
        <w:rPr>
          <w:rFonts w:eastAsia="Times New Roman" w:cs="Times New Roman"/>
          <w:sz w:val="24"/>
          <w:szCs w:val="24"/>
        </w:rPr>
        <w:t>Requires before providing music therapy services to a student for an identified educational need, the licensed music therapist must review the student's diagnosis, treatment needs, and treatment plan with the individualized family service plan's team or the individualized education program's team</w:t>
      </w:r>
      <w:r w:rsidR="007E31E2">
        <w:rPr>
          <w:rFonts w:eastAsia="Times New Roman" w:cs="Times New Roman"/>
          <w:sz w:val="24"/>
          <w:szCs w:val="24"/>
        </w:rPr>
        <w:t>.</w:t>
      </w:r>
    </w:p>
    <w:p w14:paraId="214BEC32" w14:textId="3F7D41D6" w:rsidR="00BB09EB" w:rsidRPr="00C2156C" w:rsidRDefault="00250018" w:rsidP="00250018">
      <w:pPr>
        <w:pStyle w:val="ListParagraph"/>
        <w:numPr>
          <w:ilvl w:val="1"/>
          <w:numId w:val="10"/>
        </w:numPr>
        <w:rPr>
          <w:rFonts w:eastAsia="Times New Roman" w:cs="Times New Roman"/>
          <w:sz w:val="24"/>
          <w:szCs w:val="24"/>
        </w:rPr>
      </w:pPr>
      <w:r w:rsidRPr="00595248">
        <w:rPr>
          <w:sz w:val="24"/>
          <w:szCs w:val="24"/>
        </w:rPr>
        <w:t>SB 5848 passed the Senate but died in the House.</w:t>
      </w:r>
    </w:p>
    <w:p w14:paraId="5CB57427" w14:textId="77777777" w:rsidR="00C2156C" w:rsidRDefault="00C2156C" w:rsidP="00C2156C">
      <w:pPr>
        <w:pStyle w:val="Heading2"/>
      </w:pPr>
      <w:r>
        <w:t>A Word of Thanks</w:t>
      </w:r>
    </w:p>
    <w:p w14:paraId="3835EF8F" w14:textId="77777777" w:rsidR="00C2156C" w:rsidRPr="00217266" w:rsidRDefault="00C2156C" w:rsidP="00C2156C"/>
    <w:p w14:paraId="0834104D" w14:textId="4999932D" w:rsidR="00C2156C" w:rsidRPr="00D212B8" w:rsidRDefault="00C2156C" w:rsidP="00C2156C">
      <w:r>
        <w:t xml:space="preserve">As you know, lobbying is a team effort.  I want to thank </w:t>
      </w:r>
      <w:r>
        <w:t>WSLHA</w:t>
      </w:r>
      <w:r>
        <w:t xml:space="preserve"> President </w:t>
      </w:r>
      <w:r>
        <w:t xml:space="preserve">Bethany Davis and the rest of the WSLHA Board </w:t>
      </w:r>
      <w:r>
        <w:t xml:space="preserve">for their expertise, guidance, and assistance this session.  I also want to thank the </w:t>
      </w:r>
      <w:r>
        <w:lastRenderedPageBreak/>
        <w:t>WSLHA</w:t>
      </w:r>
      <w:r>
        <w:t xml:space="preserve"> members who advocated on the association’s behalf</w:t>
      </w:r>
      <w:r w:rsidR="00C25FD6">
        <w:t xml:space="preserve"> this session.</w:t>
      </w:r>
      <w:r>
        <w:t xml:space="preserve">  None of this could happen without the dedication of you, our members.</w:t>
      </w:r>
    </w:p>
    <w:p w14:paraId="43539578" w14:textId="77777777" w:rsidR="00C2156C" w:rsidRPr="00C2156C" w:rsidRDefault="00C2156C" w:rsidP="00C2156C">
      <w:pPr>
        <w:rPr>
          <w:rFonts w:eastAsia="Times New Roman" w:cs="Times New Roman"/>
        </w:rPr>
      </w:pPr>
    </w:p>
    <w:p w14:paraId="78B1040A" w14:textId="77777777" w:rsidR="00BB09EB" w:rsidRDefault="00944702">
      <w:r>
        <w:rPr>
          <w:noProof/>
        </w:rPr>
        <w:pict w14:anchorId="639B7894">
          <v:rect id="_x0000_i1025" alt="" style="width:468pt;height:.05pt;mso-width-percent:0;mso-height-percent:0;mso-width-percent:0;mso-height-percent:0" o:hralign="center" o:hrstd="t" o:hr="t" fillcolor="#aca899" stroked="f"/>
        </w:pict>
      </w:r>
    </w:p>
    <w:p w14:paraId="39F4F795" w14:textId="77777777" w:rsidR="00BB09EB" w:rsidRDefault="00BB09EB"/>
    <w:sectPr w:rsidR="00BB09EB" w:rsidSect="002A7CED">
      <w:footerReference w:type="default" r:id="rId10"/>
      <w:pgSz w:w="12240" w:h="15840" w:code="1"/>
      <w:pgMar w:top="700" w:right="700" w:bottom="700" w:left="70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A3E2" w14:textId="77777777" w:rsidR="00944702" w:rsidRDefault="00944702">
      <w:r>
        <w:separator/>
      </w:r>
    </w:p>
  </w:endnote>
  <w:endnote w:type="continuationSeparator" w:id="0">
    <w:p w14:paraId="3CAD05D0" w14:textId="77777777" w:rsidR="00944702" w:rsidRDefault="0094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714A" w14:textId="77777777" w:rsidR="00BB09EB" w:rsidRDefault="00944702">
    <w:pPr>
      <w:spacing w:before="240" w:after="240"/>
    </w:pPr>
    <w:r>
      <w:rPr>
        <w:color w:val="000000"/>
      </w:rPr>
      <w:t>Detail Report</w:t>
    </w:r>
    <w:r>
      <w:rPr>
        <w:color w:val="000000"/>
      </w:rPr>
      <w:br/>
      <w:t>March 11, 2022</w:t>
    </w:r>
    <w:r>
      <w:rPr>
        <w:color w:val="000000"/>
      </w:rPr>
      <w:br/>
      <w:t xml:space="preserve">Page </w:t>
    </w:r>
    <w:r>
      <w:fldChar w:fldCharType="begin"/>
    </w:r>
    <w:r>
      <w:instrText>PAGE</w:instrText>
    </w:r>
    <w:r>
      <w:fldChar w:fldCharType="separate"/>
    </w:r>
    <w:r w:rsidR="00250018">
      <w:rPr>
        <w:noProof/>
      </w:rPr>
      <w:t>1</w:t>
    </w:r>
    <w:r>
      <w:fldChar w:fldCharType="end"/>
    </w:r>
    <w:r>
      <w:rPr>
        <w:color w:val="000000"/>
      </w:rPr>
      <w:t xml:space="preserve"> of </w:t>
    </w:r>
    <w:r>
      <w:fldChar w:fldCharType="begin"/>
    </w:r>
    <w:r>
      <w:instrText>NUMPAGES</w:instrText>
    </w:r>
    <w:r>
      <w:fldChar w:fldCharType="separate"/>
    </w:r>
    <w:r w:rsidR="002500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3DDF" w14:textId="77777777" w:rsidR="00944702" w:rsidRDefault="00944702">
      <w:r>
        <w:separator/>
      </w:r>
    </w:p>
  </w:footnote>
  <w:footnote w:type="continuationSeparator" w:id="0">
    <w:p w14:paraId="612F1E24" w14:textId="77777777" w:rsidR="00944702" w:rsidRDefault="00944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537"/>
    <w:multiLevelType w:val="hybridMultilevel"/>
    <w:tmpl w:val="7E700C0C"/>
    <w:lvl w:ilvl="0" w:tplc="70684336">
      <w:start w:val="1"/>
      <w:numFmt w:val="decimal"/>
      <w:lvlText w:val="%1."/>
      <w:lvlJc w:val="left"/>
      <w:pPr>
        <w:ind w:left="720" w:hanging="360"/>
      </w:pPr>
    </w:lvl>
    <w:lvl w:ilvl="1" w:tplc="70684336" w:tentative="1">
      <w:start w:val="1"/>
      <w:numFmt w:val="lowerLetter"/>
      <w:lvlText w:val="%2."/>
      <w:lvlJc w:val="left"/>
      <w:pPr>
        <w:ind w:left="1440" w:hanging="360"/>
      </w:pPr>
    </w:lvl>
    <w:lvl w:ilvl="2" w:tplc="70684336" w:tentative="1">
      <w:start w:val="1"/>
      <w:numFmt w:val="lowerRoman"/>
      <w:lvlText w:val="%3."/>
      <w:lvlJc w:val="right"/>
      <w:pPr>
        <w:ind w:left="2160" w:hanging="180"/>
      </w:pPr>
    </w:lvl>
    <w:lvl w:ilvl="3" w:tplc="70684336" w:tentative="1">
      <w:start w:val="1"/>
      <w:numFmt w:val="decimal"/>
      <w:lvlText w:val="%4."/>
      <w:lvlJc w:val="left"/>
      <w:pPr>
        <w:ind w:left="2880" w:hanging="360"/>
      </w:pPr>
    </w:lvl>
    <w:lvl w:ilvl="4" w:tplc="70684336" w:tentative="1">
      <w:start w:val="1"/>
      <w:numFmt w:val="lowerLetter"/>
      <w:lvlText w:val="%5."/>
      <w:lvlJc w:val="left"/>
      <w:pPr>
        <w:ind w:left="3600" w:hanging="360"/>
      </w:pPr>
    </w:lvl>
    <w:lvl w:ilvl="5" w:tplc="70684336" w:tentative="1">
      <w:start w:val="1"/>
      <w:numFmt w:val="lowerRoman"/>
      <w:lvlText w:val="%6."/>
      <w:lvlJc w:val="right"/>
      <w:pPr>
        <w:ind w:left="4320" w:hanging="180"/>
      </w:pPr>
    </w:lvl>
    <w:lvl w:ilvl="6" w:tplc="70684336" w:tentative="1">
      <w:start w:val="1"/>
      <w:numFmt w:val="decimal"/>
      <w:lvlText w:val="%7."/>
      <w:lvlJc w:val="left"/>
      <w:pPr>
        <w:ind w:left="5040" w:hanging="360"/>
      </w:pPr>
    </w:lvl>
    <w:lvl w:ilvl="7" w:tplc="70684336" w:tentative="1">
      <w:start w:val="1"/>
      <w:numFmt w:val="lowerLetter"/>
      <w:lvlText w:val="%8."/>
      <w:lvlJc w:val="left"/>
      <w:pPr>
        <w:ind w:left="5760" w:hanging="360"/>
      </w:pPr>
    </w:lvl>
    <w:lvl w:ilvl="8" w:tplc="70684336" w:tentative="1">
      <w:start w:val="1"/>
      <w:numFmt w:val="lowerRoman"/>
      <w:lvlText w:val="%9."/>
      <w:lvlJc w:val="right"/>
      <w:pPr>
        <w:ind w:left="6480" w:hanging="180"/>
      </w:pPr>
    </w:lvl>
  </w:abstractNum>
  <w:abstractNum w:abstractNumId="1" w15:restartNumberingAfterBreak="0">
    <w:nsid w:val="12F16316"/>
    <w:multiLevelType w:val="hybridMultilevel"/>
    <w:tmpl w:val="0826EE90"/>
    <w:lvl w:ilvl="0" w:tplc="83312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5DF3207"/>
    <w:multiLevelType w:val="hybridMultilevel"/>
    <w:tmpl w:val="ADD09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D"/>
    <w:rsid w:val="00066031"/>
    <w:rsid w:val="00080127"/>
    <w:rsid w:val="00190762"/>
    <w:rsid w:val="00250018"/>
    <w:rsid w:val="00253FC7"/>
    <w:rsid w:val="002A7CED"/>
    <w:rsid w:val="00332050"/>
    <w:rsid w:val="00403577"/>
    <w:rsid w:val="00622D35"/>
    <w:rsid w:val="00624664"/>
    <w:rsid w:val="0063464A"/>
    <w:rsid w:val="006C2F85"/>
    <w:rsid w:val="006E2870"/>
    <w:rsid w:val="007C4D0A"/>
    <w:rsid w:val="007E31E2"/>
    <w:rsid w:val="00843371"/>
    <w:rsid w:val="00944702"/>
    <w:rsid w:val="00A72461"/>
    <w:rsid w:val="00A93BCE"/>
    <w:rsid w:val="00AC30E5"/>
    <w:rsid w:val="00BB09EB"/>
    <w:rsid w:val="00BF1195"/>
    <w:rsid w:val="00C07F90"/>
    <w:rsid w:val="00C2156C"/>
    <w:rsid w:val="00C25FD6"/>
    <w:rsid w:val="00CA3FF8"/>
    <w:rsid w:val="00CC4B52"/>
    <w:rsid w:val="00D91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92C40"/>
  <w14:defaultImageDpi w14:val="300"/>
  <w15:docId w15:val="{1024CFD7-2223-D74B-9859-937CE4C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1"/>
    <w:basedOn w:val="Normal"/>
    <w:next w:val="Normal"/>
    <w:link w:val="Heading1Char"/>
    <w:uiPriority w:val="9"/>
    <w:qFormat/>
    <w:rsid w:val="00A93BCE"/>
    <w:pPr>
      <w:keepNext/>
      <w:keepLines/>
      <w:spacing w:before="480"/>
      <w:jc w:val="center"/>
      <w:outlineLvl w:val="0"/>
    </w:pPr>
    <w:rPr>
      <w:rFonts w:ascii="Cambria" w:eastAsiaTheme="majorEastAsia" w:hAnsi="Cambria" w:cstheme="majorBidi"/>
      <w:b/>
      <w:bCs/>
      <w:color w:val="345A8A" w:themeColor="accent1" w:themeShade="B5"/>
      <w:sz w:val="28"/>
      <w:szCs w:val="32"/>
    </w:rPr>
  </w:style>
  <w:style w:type="paragraph" w:styleId="Heading2">
    <w:name w:val="heading 2"/>
    <w:aliases w:val="Heading2"/>
    <w:basedOn w:val="Normal"/>
    <w:next w:val="Normal"/>
    <w:link w:val="Heading2Char"/>
    <w:uiPriority w:val="9"/>
    <w:semiHidden/>
    <w:unhideWhenUsed/>
    <w:qFormat/>
    <w:rsid w:val="00403577"/>
    <w:pPr>
      <w:keepNext/>
      <w:keepLines/>
      <w:spacing w:before="200"/>
      <w:jc w:val="center"/>
      <w:outlineLvl w:val="1"/>
    </w:pPr>
    <w:rPr>
      <w:rFonts w:ascii="Cambria" w:eastAsiaTheme="majorEastAsia" w:hAnsi="Cambr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30E5"/>
    <w:pPr>
      <w:contextualSpacing/>
    </w:pPr>
    <w:rPr>
      <w:rFonts w:ascii="Cambria" w:eastAsiaTheme="majorEastAsia" w:hAnsi="Cambria" w:cstheme="majorBidi"/>
      <w:b/>
      <w:color w:val="17365D" w:themeColor="text2" w:themeShade="BF"/>
      <w:spacing w:val="5"/>
      <w:kern w:val="28"/>
      <w:sz w:val="32"/>
      <w:szCs w:val="52"/>
    </w:rPr>
  </w:style>
  <w:style w:type="character" w:customStyle="1" w:styleId="TitleChar">
    <w:name w:val="Title Char"/>
    <w:basedOn w:val="DefaultParagraphFont"/>
    <w:link w:val="Title"/>
    <w:uiPriority w:val="10"/>
    <w:rsid w:val="00AC30E5"/>
    <w:rPr>
      <w:rFonts w:ascii="Cambria" w:eastAsiaTheme="majorEastAsia" w:hAnsi="Cambria" w:cstheme="majorBidi"/>
      <w:b/>
      <w:color w:val="17365D" w:themeColor="text2" w:themeShade="BF"/>
      <w:spacing w:val="5"/>
      <w:kern w:val="28"/>
      <w:sz w:val="32"/>
      <w:szCs w:val="52"/>
    </w:rPr>
  </w:style>
  <w:style w:type="character" w:customStyle="1" w:styleId="Heading1Char">
    <w:name w:val="Heading 1 Char"/>
    <w:aliases w:val="Heading1 Char"/>
    <w:basedOn w:val="DefaultParagraphFont"/>
    <w:link w:val="Heading1"/>
    <w:uiPriority w:val="9"/>
    <w:rsid w:val="00A93BCE"/>
    <w:rPr>
      <w:rFonts w:ascii="Cambria" w:eastAsiaTheme="majorEastAsia" w:hAnsi="Cambria" w:cstheme="majorBidi"/>
      <w:b/>
      <w:bCs/>
      <w:color w:val="345A8A" w:themeColor="accent1" w:themeShade="B5"/>
      <w:sz w:val="28"/>
      <w:szCs w:val="32"/>
    </w:rPr>
  </w:style>
  <w:style w:type="character" w:customStyle="1" w:styleId="Heading2Char">
    <w:name w:val="Heading 2 Char"/>
    <w:aliases w:val="Heading2 Char"/>
    <w:basedOn w:val="DefaultParagraphFont"/>
    <w:link w:val="Heading2"/>
    <w:uiPriority w:val="9"/>
    <w:semiHidden/>
    <w:rsid w:val="00403577"/>
    <w:rPr>
      <w:rFonts w:ascii="Cambria" w:eastAsiaTheme="majorEastAsia" w:hAnsi="Cambria" w:cstheme="majorBidi"/>
      <w:b/>
      <w:bCs/>
      <w:color w:val="4F81BD" w:themeColor="accent1"/>
      <w:sz w:val="26"/>
      <w:szCs w:val="26"/>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paragraph" w:customStyle="1" w:styleId="TitlePHPDOCX">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paragraph" w:customStyle="1" w:styleId="ListParagraphPHPDOCX">
    <w:name w:val="List Paragraph PHPDOCX"/>
    <w:basedOn w:val="Normal"/>
    <w:uiPriority w:val="34"/>
    <w:qFormat/>
    <w:rsid w:val="00DF064E"/>
    <w:pPr>
      <w:ind w:left="720"/>
      <w:contextualSpacing/>
    </w:p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0018"/>
    <w:rPr>
      <w:color w:val="0000FF" w:themeColor="hyperlink"/>
      <w:u w:val="single"/>
    </w:rPr>
  </w:style>
  <w:style w:type="paragraph" w:styleId="ListParagraph">
    <w:name w:val="List Paragraph"/>
    <w:basedOn w:val="Normal"/>
    <w:uiPriority w:val="34"/>
    <w:qFormat/>
    <w:rsid w:val="00250018"/>
    <w:pPr>
      <w:spacing w:after="160" w:line="259"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250018"/>
    <w:rPr>
      <w:color w:val="800080" w:themeColor="followedHyperlink"/>
      <w:u w:val="single"/>
    </w:rPr>
  </w:style>
  <w:style w:type="paragraph" w:styleId="NormalWeb">
    <w:name w:val="Normal (Web)"/>
    <w:basedOn w:val="Normal"/>
    <w:uiPriority w:val="99"/>
    <w:unhideWhenUsed/>
    <w:rsid w:val="0063464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BillNumber=1854&amp;Initiative=false&amp;Year=2021" TargetMode="External"/><Relationship Id="rId3" Type="http://schemas.openxmlformats.org/officeDocument/2006/relationships/settings" Target="settings.xml"/><Relationship Id="rId7" Type="http://schemas.openxmlformats.org/officeDocument/2006/relationships/hyperlink" Target="https://app.leg.wa.gov/billsummary?BillNumber=1592&amp;Initiative=false&amp;Year=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leg.wa.gov/billsummary?BillNumber=5753&amp;Initiative=false&amp;Ye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LobbyGov</dc:creator>
  <cp:keywords/>
  <dc:description/>
  <cp:lastModifiedBy>Melissa Johnson</cp:lastModifiedBy>
  <cp:revision>3</cp:revision>
  <dcterms:created xsi:type="dcterms:W3CDTF">2022-03-12T01:09:00Z</dcterms:created>
  <dcterms:modified xsi:type="dcterms:W3CDTF">2022-03-12T01:09:00Z</dcterms:modified>
  <cp:category/>
</cp:coreProperties>
</file>