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236C" w14:textId="3060FA6A" w:rsidR="00721750" w:rsidRPr="00BA4208" w:rsidRDefault="00166E1A">
      <w:pPr>
        <w:pStyle w:val="Title"/>
        <w:rPr>
          <w:sz w:val="36"/>
          <w:szCs w:val="36"/>
        </w:rPr>
      </w:pPr>
      <w:r>
        <w:rPr>
          <w:sz w:val="36"/>
          <w:szCs w:val="36"/>
        </w:rPr>
        <w:t>Capitol News – Final 2021 Edition</w:t>
      </w:r>
      <w:r w:rsidR="00B03CA1" w:rsidRPr="00BA4208">
        <w:rPr>
          <w:sz w:val="36"/>
          <w:szCs w:val="36"/>
        </w:rPr>
        <w:t xml:space="preserve"> </w:t>
      </w:r>
    </w:p>
    <w:p w14:paraId="41EB972D" w14:textId="77777777" w:rsidR="00721750" w:rsidRPr="00BA4208" w:rsidRDefault="00721750">
      <w:pPr>
        <w:pStyle w:val="Title"/>
        <w:rPr>
          <w:sz w:val="36"/>
          <w:szCs w:val="36"/>
        </w:rPr>
      </w:pPr>
      <w:r w:rsidRPr="00BA4208">
        <w:rPr>
          <w:sz w:val="36"/>
          <w:szCs w:val="36"/>
        </w:rPr>
        <w:t xml:space="preserve">April 26, 2021 </w:t>
      </w:r>
    </w:p>
    <w:p w14:paraId="14E8FA4A" w14:textId="64C90902" w:rsidR="00F86A53" w:rsidRPr="00BA4208" w:rsidRDefault="00721750">
      <w:pPr>
        <w:pStyle w:val="Title"/>
        <w:rPr>
          <w:sz w:val="36"/>
          <w:szCs w:val="36"/>
        </w:rPr>
      </w:pPr>
      <w:r w:rsidRPr="00BA4208">
        <w:rPr>
          <w:sz w:val="36"/>
          <w:szCs w:val="36"/>
        </w:rPr>
        <w:t xml:space="preserve">Melissa Johnson, </w:t>
      </w:r>
      <w:r w:rsidR="00166E1A">
        <w:rPr>
          <w:sz w:val="36"/>
          <w:szCs w:val="36"/>
        </w:rPr>
        <w:t xml:space="preserve">WSLHA </w:t>
      </w:r>
      <w:r w:rsidRPr="00BA4208">
        <w:rPr>
          <w:sz w:val="36"/>
          <w:szCs w:val="36"/>
        </w:rPr>
        <w:t>Lobbyist</w:t>
      </w:r>
    </w:p>
    <w:p w14:paraId="6A36E944" w14:textId="296DDC00" w:rsidR="00BA4208" w:rsidRPr="00BA4208" w:rsidRDefault="00BA4208" w:rsidP="00BA4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A64B" wp14:editId="47E08FC5">
                <wp:simplePos x="0" y="0"/>
                <wp:positionH relativeFrom="column">
                  <wp:posOffset>-363</wp:posOffset>
                </wp:positionH>
                <wp:positionV relativeFrom="paragraph">
                  <wp:posOffset>103868</wp:posOffset>
                </wp:positionV>
                <wp:extent cx="7123612" cy="0"/>
                <wp:effectExtent l="50800" t="38100" r="26670" b="762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6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FF754" id="Straight Connector 1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2pt" to="560.8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7F247A2" w14:textId="77777777" w:rsidR="00BA4208" w:rsidRDefault="00BA4208" w:rsidP="00BA4208">
      <w:pPr>
        <w:pStyle w:val="Heading1"/>
      </w:pPr>
      <w:r>
        <w:t>Last</w:t>
      </w:r>
      <w:r w:rsidRPr="000E1308">
        <w:t xml:space="preserve"> Week’s Highlights</w:t>
      </w:r>
    </w:p>
    <w:p w14:paraId="04B2EE64" w14:textId="77777777" w:rsidR="00BA4208" w:rsidRDefault="00BA4208" w:rsidP="00BA4208">
      <w:pPr>
        <w:rPr>
          <w:rFonts w:cstheme="minorHAnsi"/>
          <w:sz w:val="22"/>
          <w:szCs w:val="22"/>
        </w:rPr>
      </w:pPr>
    </w:p>
    <w:p w14:paraId="5F703251" w14:textId="77777777" w:rsidR="00BA4208" w:rsidRPr="00106515" w:rsidRDefault="00BA4208" w:rsidP="00BA4208">
      <w:pPr>
        <w:rPr>
          <w:rFonts w:ascii="Cambria" w:hAnsi="Cambria"/>
        </w:rPr>
      </w:pPr>
      <w:r>
        <w:rPr>
          <w:rFonts w:ascii="Cambria" w:hAnsi="Cambria"/>
        </w:rPr>
        <w:t xml:space="preserve">Ending what is sure to be remembered as an unprecedented legislative session, lawmakers adjourned at 6:10pm on Sunday, completing their business on time.  This virtual session faced unique challenges because of the pandemic, but exceeded expectations, at least for the majority party.  </w:t>
      </w:r>
    </w:p>
    <w:p w14:paraId="6E472BE8" w14:textId="77777777" w:rsidR="00BA4208" w:rsidRDefault="00BA4208" w:rsidP="00BA4208">
      <w:pPr>
        <w:rPr>
          <w:rFonts w:cstheme="minorHAnsi"/>
          <w:sz w:val="22"/>
          <w:szCs w:val="22"/>
        </w:rPr>
      </w:pPr>
    </w:p>
    <w:p w14:paraId="3B6C655B" w14:textId="77777777" w:rsidR="00BA4208" w:rsidRPr="007014A0" w:rsidRDefault="00BA4208" w:rsidP="00BA4208">
      <w:pPr>
        <w:rPr>
          <w:rFonts w:ascii="Cambria" w:hAnsi="Cambria" w:cstheme="minorHAnsi"/>
        </w:rPr>
      </w:pPr>
      <w:r w:rsidRPr="007014A0">
        <w:rPr>
          <w:rFonts w:ascii="Cambria" w:hAnsi="Cambria" w:cstheme="minorHAnsi"/>
        </w:rPr>
        <w:t xml:space="preserve">Prior to the start of session, </w:t>
      </w:r>
      <w:r>
        <w:rPr>
          <w:rFonts w:ascii="Cambria" w:hAnsi="Cambria" w:cstheme="minorHAnsi"/>
        </w:rPr>
        <w:t>m</w:t>
      </w:r>
      <w:r w:rsidRPr="007014A0">
        <w:rPr>
          <w:rFonts w:ascii="Cambria" w:hAnsi="Cambria" w:cstheme="minorHAnsi"/>
        </w:rPr>
        <w:t xml:space="preserve">ajority </w:t>
      </w:r>
      <w:r>
        <w:rPr>
          <w:rFonts w:ascii="Cambria" w:hAnsi="Cambria" w:cstheme="minorHAnsi"/>
        </w:rPr>
        <w:t>D</w:t>
      </w:r>
      <w:r w:rsidRPr="007014A0">
        <w:rPr>
          <w:rFonts w:ascii="Cambria" w:hAnsi="Cambria" w:cstheme="minorHAnsi"/>
        </w:rPr>
        <w:t xml:space="preserve">emocrats instructed their members to introduce no more than 6 bills and advised that bills would be more likely to </w:t>
      </w:r>
      <w:r>
        <w:rPr>
          <w:rFonts w:ascii="Cambria" w:hAnsi="Cambria" w:cstheme="minorHAnsi"/>
        </w:rPr>
        <w:t>advance</w:t>
      </w:r>
      <w:r w:rsidRPr="007014A0">
        <w:rPr>
          <w:rFonts w:ascii="Cambria" w:hAnsi="Cambria" w:cstheme="minorHAnsi"/>
        </w:rPr>
        <w:t xml:space="preserve"> if they had a clear path in the other chamber and fit into the following categories: address COVID-19 challenges</w:t>
      </w:r>
      <w:r>
        <w:rPr>
          <w:rFonts w:ascii="Cambria" w:hAnsi="Cambria" w:cstheme="minorHAnsi"/>
        </w:rPr>
        <w:t xml:space="preserve">; </w:t>
      </w:r>
      <w:r w:rsidRPr="007014A0">
        <w:rPr>
          <w:rFonts w:ascii="Cambria" w:hAnsi="Cambria" w:cstheme="minorHAnsi"/>
        </w:rPr>
        <w:t>improve racial equity</w:t>
      </w:r>
      <w:r>
        <w:rPr>
          <w:rFonts w:ascii="Cambria" w:hAnsi="Cambria" w:cstheme="minorHAnsi"/>
        </w:rPr>
        <w:t xml:space="preserve">; </w:t>
      </w:r>
      <w:r w:rsidRPr="007014A0">
        <w:rPr>
          <w:rFonts w:ascii="Cambria" w:hAnsi="Cambria" w:cstheme="minorHAnsi"/>
        </w:rPr>
        <w:t>advance economic recovery</w:t>
      </w:r>
      <w:r>
        <w:rPr>
          <w:rFonts w:ascii="Cambria" w:hAnsi="Cambria" w:cstheme="minorHAnsi"/>
        </w:rPr>
        <w:t xml:space="preserve">; and </w:t>
      </w:r>
      <w:r w:rsidRPr="007014A0">
        <w:rPr>
          <w:rFonts w:ascii="Cambria" w:hAnsi="Cambria" w:cstheme="minorHAnsi"/>
        </w:rPr>
        <w:t>address climate change.  The</w:t>
      </w:r>
      <w:r>
        <w:rPr>
          <w:rFonts w:ascii="Cambria" w:hAnsi="Cambria" w:cstheme="minorHAnsi"/>
        </w:rPr>
        <w:t>se</w:t>
      </w:r>
      <w:r w:rsidRPr="007014A0">
        <w:rPr>
          <w:rFonts w:ascii="Cambria" w:hAnsi="Cambria" w:cstheme="minorHAnsi"/>
        </w:rPr>
        <w:t xml:space="preserve"> guidelines, designed to focus the workload </w:t>
      </w:r>
      <w:proofErr w:type="gramStart"/>
      <w:r w:rsidRPr="007014A0">
        <w:rPr>
          <w:rFonts w:ascii="Cambria" w:hAnsi="Cambria" w:cstheme="minorHAnsi"/>
        </w:rPr>
        <w:t>in</w:t>
      </w:r>
      <w:proofErr w:type="gramEnd"/>
      <w:r w:rsidRPr="007014A0">
        <w:rPr>
          <w:rFonts w:ascii="Cambria" w:hAnsi="Cambria" w:cstheme="minorHAnsi"/>
        </w:rPr>
        <w:t xml:space="preserve"> a virtual </w:t>
      </w:r>
      <w:r>
        <w:rPr>
          <w:rFonts w:ascii="Cambria" w:hAnsi="Cambria" w:cstheme="minorHAnsi"/>
        </w:rPr>
        <w:t>session</w:t>
      </w:r>
      <w:r w:rsidRPr="007014A0">
        <w:rPr>
          <w:rFonts w:ascii="Cambria" w:hAnsi="Cambria" w:cstheme="minorHAnsi"/>
        </w:rPr>
        <w:t>, were successful.  This year, legislators introduced 811 bills and passed 337.</w:t>
      </w:r>
      <w:r>
        <w:rPr>
          <w:rFonts w:ascii="Cambria" w:hAnsi="Cambria" w:cstheme="minorHAnsi"/>
        </w:rPr>
        <w:t xml:space="preserve">  This compares to last biennium, which saw about 1200 bills introduced each year, with roughly 430 of those bills passing each year.</w:t>
      </w:r>
    </w:p>
    <w:p w14:paraId="48793A7C" w14:textId="77777777" w:rsidR="00BA4208" w:rsidRDefault="00BA4208" w:rsidP="00BA4208">
      <w:pPr>
        <w:rPr>
          <w:rFonts w:ascii="Cambria" w:hAnsi="Cambria"/>
          <w:b/>
          <w:bCs/>
        </w:rPr>
      </w:pPr>
    </w:p>
    <w:p w14:paraId="6DC58C7F" w14:textId="36FCD3E6" w:rsidR="00BA4208" w:rsidRDefault="00BA4208" w:rsidP="00BA4208">
      <w:pPr>
        <w:rPr>
          <w:rFonts w:ascii="Cambria" w:hAnsi="Cambria"/>
        </w:rPr>
      </w:pPr>
      <w:r w:rsidRPr="00CD18B1">
        <w:rPr>
          <w:rFonts w:ascii="Cambria" w:hAnsi="Cambria"/>
          <w:b/>
          <w:bCs/>
        </w:rPr>
        <w:t>Budget.</w:t>
      </w:r>
      <w:r>
        <w:rPr>
          <w:rFonts w:ascii="Cambria" w:hAnsi="Cambria"/>
        </w:rPr>
        <w:t xml:space="preserve">  The House and Senate passed the final $59 billion operating budget on Sunday.  This budget includes $10 </w:t>
      </w:r>
      <w:proofErr w:type="spellStart"/>
      <w:r>
        <w:rPr>
          <w:rFonts w:ascii="Cambria" w:hAnsi="Cambria"/>
        </w:rPr>
        <w:t>billion</w:t>
      </w:r>
      <w:proofErr w:type="spellEnd"/>
      <w:r>
        <w:rPr>
          <w:rFonts w:ascii="Cambria" w:hAnsi="Cambria"/>
        </w:rPr>
        <w:t xml:space="preserve"> of federal funding, with $1 billion of that set aside in the Washington Rescue Plan Transition Account (WRPTA).  These funds from WRPTA can be used for </w:t>
      </w:r>
      <w:r w:rsidRPr="007948B8">
        <w:rPr>
          <w:rFonts w:ascii="Cambria" w:eastAsia="Times New Roman" w:hAnsi="Cambria" w:cs="Times New Roman"/>
        </w:rPr>
        <w:t>responding to the impacts of the COVID-19 pandemic including those related to education, human services, health care, and the economy.</w:t>
      </w:r>
      <w:r>
        <w:rPr>
          <w:rFonts w:ascii="Cambria" w:hAnsi="Cambria"/>
        </w:rPr>
        <w:t xml:space="preserve">  Legislators also leave $500 million in the Budget Stabilization Account (aka, the </w:t>
      </w:r>
      <w:proofErr w:type="gramStart"/>
      <w:r>
        <w:rPr>
          <w:rFonts w:ascii="Cambria" w:hAnsi="Cambria"/>
        </w:rPr>
        <w:t>Rainy Day</w:t>
      </w:r>
      <w:proofErr w:type="gramEnd"/>
      <w:r>
        <w:rPr>
          <w:rFonts w:ascii="Cambria" w:hAnsi="Cambria"/>
        </w:rPr>
        <w:t xml:space="preserve"> Fund).  What was a dire economic crisis only 14 months ago, has turned into an unexpected robust state economy, with the help of significant federal funding and new </w:t>
      </w:r>
      <w:proofErr w:type="gramStart"/>
      <w:r>
        <w:rPr>
          <w:rFonts w:ascii="Cambria" w:hAnsi="Cambria"/>
        </w:rPr>
        <w:t>revenue.</w:t>
      </w:r>
      <w:proofErr w:type="gramEnd"/>
      <w:r>
        <w:rPr>
          <w:rFonts w:ascii="Cambria" w:hAnsi="Cambria"/>
        </w:rPr>
        <w:t xml:space="preserve">   </w:t>
      </w:r>
    </w:p>
    <w:p w14:paraId="1C59E49D" w14:textId="3FA42E81" w:rsidR="005C48FF" w:rsidRDefault="005C48FF" w:rsidP="00BA4208">
      <w:pPr>
        <w:rPr>
          <w:rFonts w:ascii="Cambria" w:hAnsi="Cambria"/>
        </w:rPr>
      </w:pPr>
    </w:p>
    <w:p w14:paraId="1898F20B" w14:textId="2BFCF8CF" w:rsidR="005C48FF" w:rsidRPr="005C48FF" w:rsidRDefault="005C48FF" w:rsidP="00BA4208">
      <w:pPr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Insurance coverage for children’s hearing instruments</w:t>
      </w:r>
      <w:r w:rsidRPr="00FC372B">
        <w:rPr>
          <w:b/>
          <w:bCs/>
        </w:rPr>
        <w:t>.</w:t>
      </w:r>
      <w:r>
        <w:t xml:space="preserve">  </w:t>
      </w:r>
      <w:r>
        <w:t xml:space="preserve">Good news!  The </w:t>
      </w:r>
      <w:r>
        <w:t xml:space="preserve">final budget </w:t>
      </w:r>
      <w:r w:rsidRPr="00086824">
        <w:rPr>
          <w:rFonts w:eastAsia="Times New Roman" w:cs="Calibri"/>
          <w:color w:val="000000"/>
        </w:rPr>
        <w:t>include</w:t>
      </w:r>
      <w:r>
        <w:rPr>
          <w:rFonts w:eastAsia="Times New Roman" w:cs="Calibri"/>
          <w:color w:val="000000"/>
        </w:rPr>
        <w:t>s</w:t>
      </w:r>
      <w:r w:rsidRPr="00086824">
        <w:rPr>
          <w:rFonts w:eastAsia="Times New Roman" w:cs="Calibri"/>
          <w:color w:val="000000"/>
        </w:rPr>
        <w:t xml:space="preserve"> the </w:t>
      </w:r>
      <w:r>
        <w:rPr>
          <w:rFonts w:eastAsia="Times New Roman" w:cs="Calibri"/>
          <w:color w:val="000000"/>
        </w:rPr>
        <w:t>budget</w:t>
      </w:r>
      <w:r w:rsidRPr="00086824">
        <w:rPr>
          <w:rFonts w:eastAsia="Times New Roman" w:cs="Calibri"/>
          <w:color w:val="000000"/>
        </w:rPr>
        <w:t xml:space="preserve"> proviso </w:t>
      </w:r>
      <w:r>
        <w:rPr>
          <w:rFonts w:eastAsia="Times New Roman" w:cs="Calibri"/>
          <w:color w:val="000000"/>
        </w:rPr>
        <w:t>funding</w:t>
      </w:r>
      <w:r w:rsidRPr="00086824">
        <w:rPr>
          <w:rFonts w:eastAsia="Times New Roman" w:cs="Calibri"/>
          <w:color w:val="000000"/>
        </w:rPr>
        <w:t xml:space="preserve"> an actuarial study of </w:t>
      </w:r>
      <w:r w:rsidR="00CD1F69">
        <w:rPr>
          <w:rFonts w:eastAsia="Times New Roman" w:cs="Calibri"/>
          <w:color w:val="000000"/>
        </w:rPr>
        <w:t xml:space="preserve">insurance </w:t>
      </w:r>
      <w:r w:rsidRPr="00086824">
        <w:rPr>
          <w:rFonts w:eastAsia="Times New Roman" w:cs="Calibri"/>
          <w:color w:val="000000"/>
        </w:rPr>
        <w:t>coverage of children’s hearing instruments.</w:t>
      </w:r>
      <w:r>
        <w:rPr>
          <w:rFonts w:eastAsia="Times New Roman" w:cs="Calibri"/>
          <w:color w:val="000000"/>
        </w:rPr>
        <w:t xml:space="preserve">  </w:t>
      </w:r>
      <w:r>
        <w:rPr>
          <w:rFonts w:eastAsia="Times New Roman" w:cs="Calibri"/>
          <w:color w:val="000000"/>
        </w:rPr>
        <w:t>T</w:t>
      </w:r>
      <w:r w:rsidRPr="00086824">
        <w:rPr>
          <w:rFonts w:eastAsia="Times New Roman" w:cs="Calibri"/>
          <w:color w:val="000000"/>
        </w:rPr>
        <w:t>he analysis provided by this proviso</w:t>
      </w:r>
      <w:r>
        <w:rPr>
          <w:rFonts w:eastAsia="Times New Roman" w:cs="Calibri"/>
          <w:color w:val="000000"/>
        </w:rPr>
        <w:t xml:space="preserve"> will give </w:t>
      </w:r>
      <w:r w:rsidRPr="00086824">
        <w:rPr>
          <w:rFonts w:eastAsia="Times New Roman" w:cs="Calibri"/>
          <w:color w:val="000000"/>
        </w:rPr>
        <w:t>the Legislature sufficient information to consider HB 1047</w:t>
      </w:r>
      <w:r>
        <w:rPr>
          <w:rFonts w:eastAsia="Times New Roman" w:cs="Calibri"/>
          <w:color w:val="000000"/>
        </w:rPr>
        <w:t xml:space="preserve"> </w:t>
      </w:r>
      <w:r w:rsidRPr="00086824">
        <w:rPr>
          <w:rFonts w:eastAsia="Times New Roman" w:cs="Calibri"/>
          <w:color w:val="000000"/>
        </w:rPr>
        <w:t>next session.</w:t>
      </w:r>
      <w:r>
        <w:rPr>
          <w:rFonts w:eastAsia="Times New Roman" w:cs="Calibri"/>
          <w:color w:val="000000"/>
        </w:rPr>
        <w:t xml:space="preserve">  HB 1047 is the bill that</w:t>
      </w:r>
      <w:r w:rsidRPr="00086824">
        <w:rPr>
          <w:rFonts w:eastAsia="Times New Roman" w:cs="Calibri"/>
          <w:color w:val="000000"/>
        </w:rPr>
        <w:t xml:space="preserve"> would mandate insurance coverage of hearing instruments for children and adolescents</w:t>
      </w:r>
      <w:r>
        <w:rPr>
          <w:rFonts w:eastAsia="Times New Roman" w:cs="Calibri"/>
          <w:color w:val="000000"/>
        </w:rPr>
        <w:t xml:space="preserve"> that died this session.  </w:t>
      </w:r>
    </w:p>
    <w:p w14:paraId="4EABE217" w14:textId="77777777" w:rsidR="00BA4208" w:rsidRDefault="00BA4208" w:rsidP="00BA4208"/>
    <w:p w14:paraId="330D733C" w14:textId="77777777" w:rsidR="00BA4208" w:rsidRPr="00DA1740" w:rsidRDefault="00BA4208" w:rsidP="00BA4208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General </w:t>
      </w:r>
      <w:r w:rsidRPr="00DA1740">
        <w:rPr>
          <w:rFonts w:eastAsia="Times New Roman" w:cstheme="minorHAnsi"/>
          <w:b/>
          <w:bCs/>
          <w:color w:val="000000"/>
          <w:sz w:val="28"/>
          <w:szCs w:val="28"/>
        </w:rPr>
        <w:t>Operating Budget Highlights</w:t>
      </w:r>
    </w:p>
    <w:p w14:paraId="260A8756" w14:textId="77777777" w:rsidR="00BA4208" w:rsidRDefault="00BA4208" w:rsidP="00BA4208">
      <w:pPr>
        <w:rPr>
          <w:rFonts w:eastAsia="Times New Roman" w:cstheme="minorHAnsi"/>
          <w:color w:val="000000"/>
          <w:sz w:val="22"/>
          <w:szCs w:val="22"/>
        </w:rPr>
      </w:pPr>
    </w:p>
    <w:p w14:paraId="7CF6AD1B" w14:textId="77777777" w:rsidR="00BA4208" w:rsidRPr="00F223CC" w:rsidRDefault="00BA4208" w:rsidP="00BA4208">
      <w:pPr>
        <w:rPr>
          <w:rFonts w:eastAsia="Times New Roman" w:cstheme="minorHAnsi"/>
          <w:b/>
          <w:bCs/>
          <w:color w:val="000000"/>
          <w:sz w:val="22"/>
          <w:szCs w:val="22"/>
          <w:u w:val="single"/>
        </w:rPr>
      </w:pPr>
      <w:r w:rsidRPr="00F223CC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Federal Funding</w:t>
      </w:r>
    </w:p>
    <w:p w14:paraId="1E5BCDDC" w14:textId="77777777" w:rsidR="00BA4208" w:rsidRPr="00143937" w:rsidRDefault="00BA4208" w:rsidP="00BA420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$1.7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143937">
        <w:rPr>
          <w:rFonts w:eastAsia="Times New Roman" w:cstheme="minorHAnsi"/>
          <w:color w:val="000000"/>
          <w:sz w:val="22"/>
          <w:szCs w:val="22"/>
        </w:rPr>
        <w:t>billion for school reopening, addressing learning loss, and other allowable costs under Elementary and Secondary School Emergency Relief 2</w:t>
      </w:r>
    </w:p>
    <w:p w14:paraId="42F53DE0" w14:textId="77777777" w:rsidR="00BA4208" w:rsidRPr="00143937" w:rsidRDefault="00BA4208" w:rsidP="00BA420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$1.1 billion for the vaccine deployment, recruitment of public health workers, contact tracing and testing</w:t>
      </w:r>
    </w:p>
    <w:p w14:paraId="555382C1" w14:textId="77777777" w:rsidR="00BA4208" w:rsidRPr="00143937" w:rsidRDefault="00BA4208" w:rsidP="00BA420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$658 million to extend the state’s rental assistance program</w:t>
      </w:r>
    </w:p>
    <w:p w14:paraId="7FCC11C8" w14:textId="77777777" w:rsidR="00BA4208" w:rsidRPr="00143937" w:rsidRDefault="00BA4208" w:rsidP="00BA420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$528 million for childcare grants and provider rates</w:t>
      </w:r>
    </w:p>
    <w:p w14:paraId="52D32688" w14:textId="77777777" w:rsidR="00BA4208" w:rsidRPr="00143937" w:rsidRDefault="00BA4208" w:rsidP="00BA420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$500 million in state funds for Unemployment Insurance benefit relief</w:t>
      </w:r>
    </w:p>
    <w:p w14:paraId="097A196F" w14:textId="77777777" w:rsidR="00BA4208" w:rsidRPr="00143937" w:rsidRDefault="00BA4208" w:rsidP="00BA420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 xml:space="preserve">$170 million for family leave during the period of the pandemic </w:t>
      </w:r>
    </w:p>
    <w:p w14:paraId="2C2E6BA0" w14:textId="77777777" w:rsidR="00BA4208" w:rsidRDefault="00BA4208" w:rsidP="00BA4208">
      <w:pPr>
        <w:rPr>
          <w:rFonts w:eastAsia="Times New Roman" w:cstheme="minorHAnsi"/>
          <w:color w:val="000000"/>
          <w:sz w:val="22"/>
          <w:szCs w:val="22"/>
        </w:rPr>
      </w:pPr>
    </w:p>
    <w:p w14:paraId="0BE3AABA" w14:textId="77777777" w:rsidR="00BA4208" w:rsidRDefault="00BA4208" w:rsidP="00BA4208">
      <w:pPr>
        <w:rPr>
          <w:rFonts w:eastAsia="Times New Roman" w:cstheme="minorHAnsi"/>
          <w:b/>
          <w:bCs/>
          <w:color w:val="000000"/>
          <w:sz w:val="22"/>
          <w:szCs w:val="22"/>
          <w:u w:val="single"/>
        </w:rPr>
      </w:pPr>
      <w:r w:rsidRPr="00F223CC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lastRenderedPageBreak/>
        <w:t>Significant Spending Items</w:t>
      </w:r>
    </w:p>
    <w:p w14:paraId="38194DA1" w14:textId="77777777" w:rsidR="00BA4208" w:rsidRPr="007014A0" w:rsidRDefault="00BA4208" w:rsidP="00BA4208">
      <w:pPr>
        <w:rPr>
          <w:rFonts w:eastAsia="Times New Roman" w:cstheme="minorHAnsi"/>
          <w:b/>
          <w:bCs/>
          <w:color w:val="000000"/>
          <w:sz w:val="22"/>
          <w:szCs w:val="22"/>
          <w:u w:val="single"/>
        </w:rPr>
      </w:pPr>
    </w:p>
    <w:p w14:paraId="3DC3EBD6" w14:textId="77777777" w:rsidR="00BA4208" w:rsidRPr="00143937" w:rsidRDefault="00BA4208" w:rsidP="00BA4208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$147 million in state funds for the Foundational Public Health initiative</w:t>
      </w:r>
    </w:p>
    <w:p w14:paraId="203B3C1F" w14:textId="77777777" w:rsidR="00BA4208" w:rsidRPr="00143937" w:rsidRDefault="00BA4208" w:rsidP="00BA4208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$664 million in state and federal funds to increase rates for certain Medicaid providers</w:t>
      </w:r>
    </w:p>
    <w:p w14:paraId="1B7E40C3" w14:textId="77777777" w:rsidR="00BA4208" w:rsidRPr="00143937" w:rsidRDefault="00BA4208" w:rsidP="00BA4208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$517 million in state and federal funds to increase behavioral health services, including provider rate increases, community supports, and crisis teams</w:t>
      </w:r>
    </w:p>
    <w:p w14:paraId="558747F7" w14:textId="77777777" w:rsidR="00BA4208" w:rsidRPr="00143937" w:rsidRDefault="00BA4208" w:rsidP="00BA4208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$309 million in state and federal funds for learning recovery, educational technology, and stabilization funding for public schools</w:t>
      </w:r>
    </w:p>
    <w:p w14:paraId="41E0A160" w14:textId="77777777" w:rsidR="00BA4208" w:rsidRDefault="00BA4208" w:rsidP="00BA4208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22"/>
          <w:szCs w:val="22"/>
        </w:rPr>
      </w:pPr>
      <w:r w:rsidRPr="00143937">
        <w:rPr>
          <w:rFonts w:eastAsia="Times New Roman" w:cstheme="minorHAnsi"/>
          <w:color w:val="000000"/>
          <w:sz w:val="22"/>
          <w:szCs w:val="22"/>
        </w:rPr>
        <w:t>$292 million in state funds for housing, rental, and related services</w:t>
      </w:r>
    </w:p>
    <w:p w14:paraId="619BC720" w14:textId="77777777" w:rsidR="00BA4208" w:rsidRDefault="00BA4208" w:rsidP="00BA4208">
      <w:pPr>
        <w:rPr>
          <w:rFonts w:eastAsia="Times New Roman" w:cstheme="minorHAnsi"/>
          <w:color w:val="000000"/>
          <w:sz w:val="22"/>
          <w:szCs w:val="22"/>
        </w:rPr>
      </w:pPr>
    </w:p>
    <w:p w14:paraId="3032FC01" w14:textId="77777777" w:rsidR="00BA4208" w:rsidRDefault="00BA4208" w:rsidP="00BA4208">
      <w:pPr>
        <w:rPr>
          <w:rFonts w:ascii="Cambria" w:hAnsi="Cambria"/>
        </w:rPr>
      </w:pPr>
      <w:r w:rsidRPr="00A74166">
        <w:rPr>
          <w:rFonts w:ascii="Cambria" w:hAnsi="Cambria"/>
          <w:b/>
          <w:bCs/>
        </w:rPr>
        <w:t>Capital gains tax.</w:t>
      </w:r>
      <w:r>
        <w:rPr>
          <w:rFonts w:ascii="Cambria" w:hAnsi="Cambria"/>
        </w:rPr>
        <w:t xml:space="preserve">  Until just a few days before the session ended, the fate of SB 5096, the capital gains tax bill, was unknown.  However, on Friday the House and Senate agreed to a conference committee report and both chambers passed the bill.  </w:t>
      </w:r>
    </w:p>
    <w:p w14:paraId="2EFA82FD" w14:textId="77777777" w:rsidR="00BA4208" w:rsidRDefault="00BA4208" w:rsidP="00BA4208">
      <w:pPr>
        <w:rPr>
          <w:rFonts w:ascii="Cambria" w:hAnsi="Cambria"/>
        </w:rPr>
      </w:pPr>
    </w:p>
    <w:p w14:paraId="5B7FE878" w14:textId="77777777" w:rsidR="00BA4208" w:rsidRPr="00A74166" w:rsidRDefault="00BA4208" w:rsidP="00BA4208">
      <w:pPr>
        <w:rPr>
          <w:rFonts w:ascii="Cambria" w:hAnsi="Cambria"/>
        </w:rPr>
      </w:pPr>
      <w:r>
        <w:rPr>
          <w:rFonts w:ascii="Cambria" w:hAnsi="Cambria"/>
        </w:rPr>
        <w:t xml:space="preserve">The House passed SB 5096, the bill establishing the capital gains tax, last Wednesday, with a vote of 53-45.  Proceeds from this tax are deposited into the Education Legacy Trust Account </w:t>
      </w:r>
      <w:r w:rsidRPr="00A74166">
        <w:rPr>
          <w:rFonts w:ascii="Cambria" w:hAnsi="Cambria" w:cs="Calibri"/>
          <w:color w:val="000000"/>
        </w:rPr>
        <w:t>to fund K-12 education, early learning, and childcare.  The bill also exempt</w:t>
      </w:r>
      <w:r>
        <w:rPr>
          <w:rFonts w:ascii="Cambria" w:hAnsi="Cambria" w:cs="Calibri"/>
          <w:color w:val="000000"/>
        </w:rPr>
        <w:t>s</w:t>
      </w:r>
      <w:r w:rsidRPr="00A74166">
        <w:rPr>
          <w:rFonts w:ascii="Cambria" w:hAnsi="Cambria" w:cs="Calibri"/>
          <w:color w:val="000000"/>
        </w:rPr>
        <w:t xml:space="preserve"> certain assets from the tax including, qualified family-owned small businesses, all residential and other real property, and retirement accounts</w:t>
      </w:r>
      <w:r>
        <w:rPr>
          <w:rFonts w:ascii="Cambria" w:hAnsi="Cambria" w:cs="Calibri"/>
          <w:color w:val="000000"/>
        </w:rPr>
        <w:t>, and commercial fishing privileges.</w:t>
      </w:r>
    </w:p>
    <w:p w14:paraId="55062526" w14:textId="77777777" w:rsidR="00BA4208" w:rsidRDefault="00BA4208" w:rsidP="00BA4208">
      <w:pPr>
        <w:rPr>
          <w:rFonts w:ascii="Cambria" w:hAnsi="Cambria"/>
        </w:rPr>
      </w:pPr>
    </w:p>
    <w:p w14:paraId="67CC0FAC" w14:textId="77777777" w:rsidR="00BA4208" w:rsidRDefault="00BA4208" w:rsidP="00BA4208">
      <w:pPr>
        <w:rPr>
          <w:rFonts w:ascii="Cambria" w:hAnsi="Cambria"/>
        </w:rPr>
      </w:pPr>
      <w:r>
        <w:rPr>
          <w:rFonts w:ascii="Cambria" w:hAnsi="Cambria"/>
        </w:rPr>
        <w:t>The bill as passed the Legislature does the following:</w:t>
      </w:r>
    </w:p>
    <w:p w14:paraId="1A8236C4" w14:textId="77777777" w:rsidR="00BA4208" w:rsidRDefault="00BA4208" w:rsidP="00BA4208">
      <w:pPr>
        <w:rPr>
          <w:rFonts w:ascii="Cambria" w:hAnsi="Cambria"/>
        </w:rPr>
      </w:pPr>
    </w:p>
    <w:p w14:paraId="107BCBA8" w14:textId="77777777" w:rsidR="00BA4208" w:rsidRPr="00BD1220" w:rsidRDefault="00BA4208" w:rsidP="00BA420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mbria" w:hAnsi="Cambria"/>
        </w:rPr>
      </w:pPr>
      <w:r w:rsidRPr="00BD1220">
        <w:rPr>
          <w:rFonts w:ascii="Cambria" w:hAnsi="Cambria"/>
        </w:rPr>
        <w:t>Levies a 7% tax on the voluntary sale or exchange of stocks, bonds, and other capital assets where the profit is in excess of $250,000.</w:t>
      </w:r>
    </w:p>
    <w:p w14:paraId="7840A653" w14:textId="77777777" w:rsidR="00BA4208" w:rsidRPr="00BD1220" w:rsidRDefault="00BA4208" w:rsidP="00BA420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mbria" w:hAnsi="Cambria"/>
        </w:rPr>
      </w:pPr>
      <w:r w:rsidRPr="00BD1220">
        <w:rPr>
          <w:rFonts w:ascii="Cambria" w:hAnsi="Cambria"/>
        </w:rPr>
        <w:t>Proceeds from the capital gains tax are deposited to the Education Legacy Trust Account</w:t>
      </w:r>
      <w:r>
        <w:rPr>
          <w:rFonts w:ascii="Cambria" w:hAnsi="Cambria"/>
        </w:rPr>
        <w:t xml:space="preserve"> to fund K-12, early learning and </w:t>
      </w:r>
      <w:proofErr w:type="gramStart"/>
      <w:r>
        <w:rPr>
          <w:rFonts w:ascii="Cambria" w:hAnsi="Cambria"/>
        </w:rPr>
        <w:t>child care</w:t>
      </w:r>
      <w:proofErr w:type="gramEnd"/>
      <w:r w:rsidRPr="00BD1220">
        <w:rPr>
          <w:rFonts w:ascii="Cambria" w:hAnsi="Cambria"/>
        </w:rPr>
        <w:t>, capped at $500M</w:t>
      </w:r>
      <w:r>
        <w:rPr>
          <w:rFonts w:ascii="Cambria" w:hAnsi="Cambria"/>
        </w:rPr>
        <w:t xml:space="preserve">, </w:t>
      </w:r>
      <w:r w:rsidRPr="00BD1220">
        <w:rPr>
          <w:rFonts w:ascii="Cambria" w:hAnsi="Cambria"/>
        </w:rPr>
        <w:t>with remaining tax proceeds being deposited into the Common School Construction Account</w:t>
      </w:r>
      <w:r>
        <w:rPr>
          <w:rFonts w:ascii="Cambria" w:hAnsi="Cambria"/>
        </w:rPr>
        <w:t>.</w:t>
      </w:r>
    </w:p>
    <w:p w14:paraId="6339A421" w14:textId="77777777" w:rsidR="00BA4208" w:rsidRDefault="00BA4208" w:rsidP="00BA420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mbria" w:hAnsi="Cambria"/>
        </w:rPr>
      </w:pPr>
      <w:r w:rsidRPr="00BD1220">
        <w:rPr>
          <w:rFonts w:ascii="Cambria" w:hAnsi="Cambria"/>
        </w:rPr>
        <w:t xml:space="preserve">Provides a charitable donation deduction of up to $100K (annually adjusted) for the tax year for taxpayers donating at least $250K to qualified nonprofit organizations that tax year. </w:t>
      </w:r>
    </w:p>
    <w:p w14:paraId="355A6812" w14:textId="77777777" w:rsidR="00BA4208" w:rsidRDefault="00BA4208" w:rsidP="00BA420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Exempts f</w:t>
      </w:r>
      <w:r w:rsidRPr="00BD1220">
        <w:rPr>
          <w:rFonts w:ascii="Cambria" w:hAnsi="Cambria"/>
        </w:rPr>
        <w:t xml:space="preserve">amily-owned small businesses, all residential and other real property, and retirement accounts from this tax. </w:t>
      </w:r>
    </w:p>
    <w:p w14:paraId="68574B76" w14:textId="77777777" w:rsidR="00BA4208" w:rsidRDefault="00BA4208" w:rsidP="00BA4208">
      <w:pPr>
        <w:rPr>
          <w:rFonts w:ascii="Cambria" w:hAnsi="Cambria"/>
        </w:rPr>
      </w:pPr>
    </w:p>
    <w:p w14:paraId="77F6CE4C" w14:textId="77777777" w:rsidR="00BA4208" w:rsidRDefault="00BA4208" w:rsidP="00BA4208">
      <w:pPr>
        <w:rPr>
          <w:rFonts w:ascii="Cambria" w:hAnsi="Cambria"/>
        </w:rPr>
      </w:pPr>
      <w:r>
        <w:rPr>
          <w:rFonts w:ascii="Cambria" w:hAnsi="Cambria"/>
        </w:rPr>
        <w:t xml:space="preserve">While there is no emergency clause on the bill, it states that the bill is </w:t>
      </w:r>
      <w:r w:rsidRPr="006C43C8">
        <w:rPr>
          <w:rFonts w:ascii="Cambria" w:hAnsi="Cambria"/>
        </w:rPr>
        <w:t xml:space="preserve">“necessary for the support of the state government and its existing public institutions”.  Whether this language is enough to prevent a referendum </w:t>
      </w:r>
      <w:r>
        <w:rPr>
          <w:rFonts w:ascii="Cambria" w:hAnsi="Cambria"/>
        </w:rPr>
        <w:t xml:space="preserve">challenge </w:t>
      </w:r>
      <w:r w:rsidRPr="006C43C8">
        <w:rPr>
          <w:rFonts w:ascii="Cambria" w:hAnsi="Cambria"/>
        </w:rPr>
        <w:t xml:space="preserve">is unclear.   </w:t>
      </w:r>
    </w:p>
    <w:p w14:paraId="5255310B" w14:textId="77777777" w:rsidR="00BA4208" w:rsidRPr="00DC104B" w:rsidRDefault="00BA4208" w:rsidP="00BA4208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Priority Bill Updates</w:t>
      </w:r>
    </w:p>
    <w:p w14:paraId="29476184" w14:textId="77777777" w:rsidR="00BA4208" w:rsidRDefault="00BA4208" w:rsidP="00BA4208">
      <w:pPr>
        <w:rPr>
          <w:rFonts w:ascii="Cambria" w:hAnsi="Cambria"/>
        </w:rPr>
      </w:pPr>
    </w:p>
    <w:p w14:paraId="3274DBB9" w14:textId="77777777" w:rsidR="00BA4208" w:rsidRPr="00B3103B" w:rsidRDefault="00BA4208" w:rsidP="00BA4208">
      <w:pPr>
        <w:pStyle w:val="ListParagraph"/>
        <w:numPr>
          <w:ilvl w:val="0"/>
          <w:numId w:val="14"/>
        </w:numPr>
        <w:rPr>
          <w:rFonts w:cs="Arial"/>
          <w:b/>
          <w:bCs/>
          <w:color w:val="333333"/>
          <w:shd w:val="clear" w:color="auto" w:fill="FFFFFF"/>
        </w:rPr>
      </w:pPr>
      <w:r w:rsidRPr="00B3103B">
        <w:rPr>
          <w:rFonts w:cs="Arial"/>
          <w:b/>
          <w:bCs/>
          <w:color w:val="333333"/>
          <w:shd w:val="clear" w:color="auto" w:fill="FFFFFF"/>
        </w:rPr>
        <w:t>HB 1196</w:t>
      </w:r>
      <w:r w:rsidRPr="00B3103B">
        <w:rPr>
          <w:rFonts w:cs="Arial"/>
          <w:color w:val="333333"/>
          <w:shd w:val="clear" w:color="auto" w:fill="FFFFFF"/>
        </w:rPr>
        <w:t xml:space="preserve">, the bill that creates reimbursement parity for audio-only consultations, </w:t>
      </w:r>
      <w:r w:rsidRPr="00B3103B">
        <w:rPr>
          <w:rFonts w:cs="Arial"/>
          <w:b/>
          <w:bCs/>
          <w:color w:val="333333"/>
          <w:shd w:val="clear" w:color="auto" w:fill="FFFFFF"/>
        </w:rPr>
        <w:t xml:space="preserve">is now on its way to the Governor for his action.  </w:t>
      </w:r>
      <w:r w:rsidRPr="00B3103B">
        <w:rPr>
          <w:rFonts w:cs="Arial"/>
          <w:color w:val="333333"/>
          <w:shd w:val="clear" w:color="auto" w:fill="FFFFFF"/>
        </w:rPr>
        <w:t>Here</w:t>
      </w:r>
      <w:r>
        <w:rPr>
          <w:rFonts w:cs="Arial"/>
          <w:color w:val="333333"/>
          <w:shd w:val="clear" w:color="auto" w:fill="FFFFFF"/>
        </w:rPr>
        <w:t>’s what you need to know</w:t>
      </w:r>
      <w:r w:rsidRPr="00B3103B">
        <w:rPr>
          <w:rFonts w:cs="Arial"/>
          <w:color w:val="333333"/>
          <w:shd w:val="clear" w:color="auto" w:fill="FFFFFF"/>
        </w:rPr>
        <w:t>:</w:t>
      </w:r>
    </w:p>
    <w:p w14:paraId="481E08B8" w14:textId="77777777" w:rsidR="00BA4208" w:rsidRPr="00B3103B" w:rsidRDefault="00BA4208" w:rsidP="00BA4208">
      <w:pPr>
        <w:rPr>
          <w:rFonts w:cs="Arial"/>
          <w:b/>
          <w:bCs/>
          <w:color w:val="333333"/>
          <w:shd w:val="clear" w:color="auto" w:fill="FFFFFF"/>
        </w:rPr>
      </w:pPr>
    </w:p>
    <w:p w14:paraId="434163BE" w14:textId="77777777" w:rsidR="00BA4208" w:rsidRPr="003C23F3" w:rsidRDefault="00BA4208" w:rsidP="00BA4208">
      <w:pPr>
        <w:pStyle w:val="ListParagraph"/>
        <w:numPr>
          <w:ilvl w:val="1"/>
          <w:numId w:val="14"/>
        </w:numPr>
      </w:pPr>
      <w:r w:rsidRPr="00B3103B">
        <w:t xml:space="preserve">This bill applies to </w:t>
      </w:r>
      <w:r>
        <w:t>commercial health plans</w:t>
      </w:r>
      <w:r w:rsidRPr="00B3103B">
        <w:t xml:space="preserve">, </w:t>
      </w:r>
      <w:r>
        <w:t xml:space="preserve">SEBB and PEBB plans, and </w:t>
      </w:r>
      <w:r w:rsidRPr="00B3103B">
        <w:t>Medicaid</w:t>
      </w:r>
      <w:r>
        <w:t>.</w:t>
      </w:r>
    </w:p>
    <w:p w14:paraId="3E9C5541" w14:textId="77777777" w:rsidR="00BA4208" w:rsidRPr="003C23F3" w:rsidRDefault="00BA4208" w:rsidP="00BA4208">
      <w:pPr>
        <w:pStyle w:val="ListParagraph"/>
        <w:numPr>
          <w:ilvl w:val="1"/>
          <w:numId w:val="14"/>
        </w:numPr>
      </w:pPr>
      <w:r w:rsidRPr="00B3103B">
        <w:t xml:space="preserve">These health plans must reimburse </w:t>
      </w:r>
      <w:r>
        <w:t>you</w:t>
      </w:r>
      <w:r w:rsidRPr="00B3103B">
        <w:t xml:space="preserve"> for health care services provided through audio-only telemedicine under the same conditions applicable to audio-video telemedicine. </w:t>
      </w:r>
    </w:p>
    <w:p w14:paraId="0E7F614E" w14:textId="77777777" w:rsidR="00BA4208" w:rsidRPr="003C23F3" w:rsidRDefault="00BA4208" w:rsidP="00BA4208">
      <w:pPr>
        <w:pStyle w:val="ListParagraph"/>
        <w:numPr>
          <w:ilvl w:val="1"/>
          <w:numId w:val="14"/>
        </w:numPr>
      </w:pPr>
      <w:r w:rsidRPr="00FC130A">
        <w:t xml:space="preserve">If </w:t>
      </w:r>
      <w:r>
        <w:t xml:space="preserve">you </w:t>
      </w:r>
      <w:r w:rsidRPr="00FC130A">
        <w:t xml:space="preserve">intend to bill for audio-only telemedicine, </w:t>
      </w:r>
      <w:r>
        <w:t>you</w:t>
      </w:r>
      <w:r w:rsidRPr="00FC130A">
        <w:t xml:space="preserve"> must first obtain the patient's consent to the billing. </w:t>
      </w:r>
    </w:p>
    <w:p w14:paraId="47C493C6" w14:textId="77777777" w:rsidR="00BA4208" w:rsidRPr="003C23F3" w:rsidRDefault="00BA4208" w:rsidP="00BA4208">
      <w:pPr>
        <w:pStyle w:val="ListParagraph"/>
        <w:numPr>
          <w:ilvl w:val="1"/>
          <w:numId w:val="14"/>
        </w:numPr>
        <w:rPr>
          <w:rFonts w:cs="Times New Roman"/>
        </w:rPr>
      </w:pPr>
      <w:r w:rsidRPr="00B3103B">
        <w:lastRenderedPageBreak/>
        <w:t xml:space="preserve">Beginning January 1, 2023, the audio-only telemedicine reimbursement requirement applies only if the </w:t>
      </w:r>
      <w:r>
        <w:t>patient</w:t>
      </w:r>
      <w:r w:rsidRPr="00B3103B">
        <w:t xml:space="preserve"> has an established relationship with </w:t>
      </w:r>
      <w:r>
        <w:t>you</w:t>
      </w:r>
      <w:r w:rsidRPr="00B3103B">
        <w:t xml:space="preserve">. </w:t>
      </w:r>
      <w:r>
        <w:t xml:space="preserve">This means that the patient has had at least one </w:t>
      </w:r>
      <w:r w:rsidRPr="00B3103B">
        <w:t xml:space="preserve">in-person appointment </w:t>
      </w:r>
      <w:r>
        <w:t xml:space="preserve">with you </w:t>
      </w:r>
      <w:r w:rsidRPr="00B3103B">
        <w:t>within the past year.</w:t>
      </w:r>
    </w:p>
    <w:p w14:paraId="5B65F3BC" w14:textId="77777777" w:rsidR="00BA4208" w:rsidRPr="00B3103B" w:rsidRDefault="00BA4208" w:rsidP="00BA4208">
      <w:pPr>
        <w:pStyle w:val="ListParagraph"/>
        <w:rPr>
          <w:rFonts w:cs="Arial"/>
          <w:color w:val="333333"/>
          <w:shd w:val="clear" w:color="auto" w:fill="FFFFFF"/>
        </w:rPr>
      </w:pPr>
    </w:p>
    <w:p w14:paraId="71446735" w14:textId="77777777" w:rsidR="00BA4208" w:rsidRPr="00B3103B" w:rsidRDefault="00BA4208" w:rsidP="00BA4208">
      <w:pPr>
        <w:pStyle w:val="ListParagraph"/>
        <w:numPr>
          <w:ilvl w:val="0"/>
          <w:numId w:val="13"/>
        </w:numPr>
        <w:rPr>
          <w:rFonts w:cs="Arial"/>
          <w:b/>
          <w:bCs/>
          <w:color w:val="333333"/>
          <w:shd w:val="clear" w:color="auto" w:fill="FFFFFF"/>
        </w:rPr>
      </w:pPr>
      <w:r w:rsidRPr="00B3103B">
        <w:rPr>
          <w:rFonts w:cs="Arial"/>
          <w:b/>
          <w:bCs/>
          <w:color w:val="333333"/>
          <w:shd w:val="clear" w:color="auto" w:fill="FFFFFF"/>
        </w:rPr>
        <w:t xml:space="preserve">SB 5169, </w:t>
      </w:r>
      <w:r w:rsidRPr="00B3103B">
        <w:rPr>
          <w:rFonts w:cs="Arial"/>
          <w:color w:val="333333"/>
          <w:shd w:val="clear" w:color="auto" w:fill="FFFFFF"/>
        </w:rPr>
        <w:t>the bill providing reimbursement to health care providers for the cost of</w:t>
      </w:r>
      <w:r w:rsidRPr="00B3103B">
        <w:rPr>
          <w:rFonts w:cs="Arial"/>
          <w:b/>
          <w:bCs/>
          <w:color w:val="333333"/>
          <w:shd w:val="clear" w:color="auto" w:fill="FFFFFF"/>
        </w:rPr>
        <w:t xml:space="preserve"> </w:t>
      </w:r>
      <w:r w:rsidRPr="00B3103B">
        <w:rPr>
          <w:rFonts w:cs="Arial"/>
          <w:color w:val="333333"/>
          <w:shd w:val="clear" w:color="auto" w:fill="FFFFFF"/>
        </w:rPr>
        <w:t xml:space="preserve">PPE when treating patients in person, </w:t>
      </w:r>
      <w:r w:rsidRPr="00B3103B">
        <w:rPr>
          <w:rFonts w:cs="Arial"/>
          <w:b/>
          <w:bCs/>
          <w:color w:val="333333"/>
          <w:shd w:val="clear" w:color="auto" w:fill="FFFFFF"/>
        </w:rPr>
        <w:t>was signed into law on April 1</w:t>
      </w:r>
      <w:r>
        <w:rPr>
          <w:rFonts w:cs="Arial"/>
          <w:b/>
          <w:bCs/>
          <w:color w:val="333333"/>
          <w:shd w:val="clear" w:color="auto" w:fill="FFFFFF"/>
        </w:rPr>
        <w:t>6</w:t>
      </w:r>
      <w:r w:rsidRPr="003C23F3">
        <w:rPr>
          <w:rFonts w:cs="Arial"/>
          <w:b/>
          <w:bCs/>
          <w:color w:val="333333"/>
          <w:shd w:val="clear" w:color="auto" w:fill="FFFFFF"/>
          <w:vertAlign w:val="superscript"/>
        </w:rPr>
        <w:t>th</w:t>
      </w:r>
      <w:r>
        <w:rPr>
          <w:rFonts w:cs="Arial"/>
          <w:b/>
          <w:bCs/>
          <w:color w:val="333333"/>
          <w:shd w:val="clear" w:color="auto" w:fill="FFFFFF"/>
        </w:rPr>
        <w:t xml:space="preserve"> and became immediately effective</w:t>
      </w:r>
      <w:r w:rsidRPr="00B3103B">
        <w:rPr>
          <w:rFonts w:cs="Arial"/>
          <w:b/>
          <w:bCs/>
          <w:color w:val="333333"/>
          <w:shd w:val="clear" w:color="auto" w:fill="FFFFFF"/>
        </w:rPr>
        <w:t>!</w:t>
      </w:r>
      <w:r w:rsidRPr="00B3103B">
        <w:rPr>
          <w:rFonts w:eastAsia="Times New Roman"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Arial"/>
          <w:color w:val="333333"/>
          <w:shd w:val="clear" w:color="auto" w:fill="FFFFFF"/>
        </w:rPr>
        <w:t>Here’s what you need to know</w:t>
      </w:r>
      <w:r w:rsidRPr="00B3103B">
        <w:rPr>
          <w:rFonts w:cs="Arial"/>
          <w:color w:val="333333"/>
          <w:shd w:val="clear" w:color="auto" w:fill="FFFFFF"/>
        </w:rPr>
        <w:t>:</w:t>
      </w:r>
    </w:p>
    <w:p w14:paraId="68385C61" w14:textId="77777777" w:rsidR="00BA4208" w:rsidRPr="00D23CCA" w:rsidRDefault="00BA4208" w:rsidP="00BA4208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D23CCA">
        <w:rPr>
          <w:rFonts w:eastAsia="Times New Roman" w:cs="Times New Roman"/>
          <w:color w:val="202020"/>
        </w:rPr>
        <w:t>All in-person patient encounters starting on April 16 may be included when you seek reimbursement. The law will expire when the COVID-19 public health emergency ends (exact date unknown but possibly the end of 2021).</w:t>
      </w:r>
    </w:p>
    <w:p w14:paraId="553CE674" w14:textId="22E1DFE3" w:rsidR="00BA4208" w:rsidRPr="00D23CCA" w:rsidRDefault="00BA4208" w:rsidP="00BA4208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D23CCA">
        <w:rPr>
          <w:rFonts w:eastAsia="Times New Roman" w:cs="Times New Roman"/>
          <w:color w:val="202020"/>
        </w:rPr>
        <w:t>Payers must reimburse you at least $6.57 per in-person patient encounter.</w:t>
      </w:r>
    </w:p>
    <w:p w14:paraId="1C61DB97" w14:textId="77777777" w:rsidR="00BA4208" w:rsidRPr="00D23CCA" w:rsidRDefault="00BA4208" w:rsidP="00BA4208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D23CCA">
        <w:rPr>
          <w:rFonts w:eastAsia="Times New Roman" w:cs="Times New Roman"/>
          <w:color w:val="202020"/>
        </w:rPr>
        <w:t>This new law applies to commercial insurance plans only; it does not apply to self-funded plans, Medicaid, or plans under SEBB and PEBB. </w:t>
      </w:r>
    </w:p>
    <w:p w14:paraId="7131F576" w14:textId="77777777" w:rsidR="00BA4208" w:rsidRPr="00D23CCA" w:rsidRDefault="00BA4208" w:rsidP="00BA4208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D23CCA">
        <w:rPr>
          <w:rFonts w:eastAsia="Times New Roman" w:cs="Times New Roman"/>
          <w:color w:val="202020"/>
        </w:rPr>
        <w:t>Use new PPE billing code 99072 to request reimbursement.</w:t>
      </w:r>
    </w:p>
    <w:p w14:paraId="24A2A642" w14:textId="35BA2A4A" w:rsidR="00BA4208" w:rsidRPr="00B3103B" w:rsidRDefault="00BA4208" w:rsidP="00BA4208">
      <w:pPr>
        <w:numPr>
          <w:ilvl w:val="0"/>
          <w:numId w:val="15"/>
        </w:numPr>
        <w:spacing w:before="100" w:beforeAutospacing="1" w:after="100" w:afterAutospacing="1"/>
        <w:rPr>
          <w:rFonts w:cs="Times New Roman"/>
          <w:color w:val="202020"/>
        </w:rPr>
      </w:pPr>
      <w:r>
        <w:rPr>
          <w:color w:val="202020"/>
        </w:rPr>
        <w:t>WSLHA</w:t>
      </w:r>
      <w:r w:rsidRPr="00D23CCA">
        <w:rPr>
          <w:rFonts w:eastAsia="Times New Roman" w:cs="Times New Roman"/>
          <w:color w:val="202020"/>
        </w:rPr>
        <w:t xml:space="preserve"> recommend</w:t>
      </w:r>
      <w:r>
        <w:rPr>
          <w:color w:val="202020"/>
        </w:rPr>
        <w:t>s</w:t>
      </w:r>
      <w:r w:rsidRPr="00D23CCA">
        <w:rPr>
          <w:rFonts w:eastAsia="Times New Roman" w:cs="Times New Roman"/>
          <w:color w:val="202020"/>
        </w:rPr>
        <w:t xml:space="preserve"> documentation of PPE use in the patient's record, although the law doesn't require this.</w:t>
      </w:r>
    </w:p>
    <w:p w14:paraId="0ED0E528" w14:textId="77777777" w:rsidR="00BA4208" w:rsidRPr="00DD7EC8" w:rsidRDefault="00BA4208" w:rsidP="00BA4208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 w:rsidRPr="003C23F3">
        <w:rPr>
          <w:rFonts w:cs="Arial"/>
          <w:b/>
          <w:bCs/>
          <w:color w:val="333333"/>
          <w:shd w:val="clear" w:color="auto" w:fill="FFFFFF"/>
        </w:rPr>
        <w:t xml:space="preserve">SB 5229, </w:t>
      </w:r>
      <w:r w:rsidRPr="003C23F3">
        <w:rPr>
          <w:rFonts w:cs="Arial"/>
          <w:color w:val="333333"/>
          <w:shd w:val="clear" w:color="auto" w:fill="FFFFFF"/>
        </w:rPr>
        <w:t xml:space="preserve">the legislation that creates a health equity continuing education requirement for health care providers, </w:t>
      </w:r>
      <w:r w:rsidRPr="003C23F3">
        <w:rPr>
          <w:rFonts w:cs="Arial"/>
          <w:b/>
          <w:bCs/>
          <w:color w:val="333333"/>
          <w:shd w:val="clear" w:color="auto" w:fill="FFFFFF"/>
        </w:rPr>
        <w:t>is now on its way to the Governor for his action</w:t>
      </w:r>
      <w:r w:rsidRPr="003C23F3">
        <w:rPr>
          <w:rFonts w:eastAsia="Times New Roman" w:cs="Times New Roman"/>
          <w:b/>
          <w:bCs/>
        </w:rPr>
        <w:t xml:space="preserve">. </w:t>
      </w:r>
      <w:r w:rsidRPr="003C23F3">
        <w:rPr>
          <w:rFonts w:cs="Arial"/>
          <w:color w:val="333333"/>
          <w:shd w:val="clear" w:color="auto" w:fill="FFFFFF"/>
        </w:rPr>
        <w:t>Here are the details of the bill:</w:t>
      </w:r>
    </w:p>
    <w:p w14:paraId="7EF3E554" w14:textId="77777777" w:rsidR="00BA4208" w:rsidRPr="003C23F3" w:rsidRDefault="00BA4208" w:rsidP="00BA4208">
      <w:pPr>
        <w:pStyle w:val="ListParagraph"/>
        <w:rPr>
          <w:rFonts w:cs="Times New Roman"/>
          <w:b/>
          <w:bCs/>
        </w:rPr>
      </w:pPr>
    </w:p>
    <w:p w14:paraId="6DB1B163" w14:textId="46BA0BF5" w:rsidR="00BA4208" w:rsidRPr="003C23F3" w:rsidRDefault="00BA4208" w:rsidP="00BA4208">
      <w:pPr>
        <w:pStyle w:val="ListParagraph"/>
        <w:numPr>
          <w:ilvl w:val="1"/>
          <w:numId w:val="13"/>
        </w:numPr>
      </w:pPr>
      <w:r w:rsidRPr="003C23F3">
        <w:t>By January 1, 2024</w:t>
      </w:r>
      <w:r>
        <w:t xml:space="preserve">, Department of Health boards and commissions (e.g., the Board of </w:t>
      </w:r>
      <w:r>
        <w:t>Hearing &amp; Speech</w:t>
      </w:r>
      <w:r>
        <w:t xml:space="preserve">) must adopt rules </w:t>
      </w:r>
      <w:r w:rsidRPr="003C23F3">
        <w:t>requiring licensees to complete health equity continuing education training at least once every four years</w:t>
      </w:r>
      <w:r>
        <w:t>.</w:t>
      </w:r>
      <w:r w:rsidRPr="003C23F3">
        <w:t xml:space="preserve"> </w:t>
      </w:r>
    </w:p>
    <w:p w14:paraId="54EF1621" w14:textId="77777777" w:rsidR="00BA4208" w:rsidRPr="003C23F3" w:rsidRDefault="00BA4208" w:rsidP="00BA4208">
      <w:pPr>
        <w:pStyle w:val="ListParagraph"/>
        <w:numPr>
          <w:ilvl w:val="1"/>
          <w:numId w:val="13"/>
        </w:numPr>
      </w:pPr>
      <w:r>
        <w:t xml:space="preserve">Boards and commissions will decide whether the course fulfills </w:t>
      </w:r>
      <w:r w:rsidRPr="003C23F3">
        <w:t xml:space="preserve">existing continuing education requirements </w:t>
      </w:r>
      <w:r>
        <w:t xml:space="preserve">or whether it’s in addition to current CE requirements.  </w:t>
      </w:r>
    </w:p>
    <w:p w14:paraId="7330D0DE" w14:textId="77777777" w:rsidR="00BA4208" w:rsidRPr="0077790D" w:rsidRDefault="00BA4208" w:rsidP="00BA4208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3C23F3">
        <w:t xml:space="preserve">By July 1, 2023, </w:t>
      </w:r>
      <w:r>
        <w:t>DOH</w:t>
      </w:r>
      <w:r w:rsidRPr="003C23F3">
        <w:t xml:space="preserve"> and </w:t>
      </w:r>
      <w:r>
        <w:t>boards and commissions will</w:t>
      </w:r>
      <w:r w:rsidRPr="003C23F3">
        <w:t xml:space="preserve"> consult with professional organizations, patients, and communities to develop health equity course information</w:t>
      </w:r>
      <w:r>
        <w:t>.</w:t>
      </w:r>
    </w:p>
    <w:p w14:paraId="032B6A0E" w14:textId="5B69E725" w:rsidR="00BA4208" w:rsidRDefault="00BA4208" w:rsidP="00BA4208">
      <w:pPr>
        <w:pStyle w:val="ListParagraph"/>
        <w:numPr>
          <w:ilvl w:val="1"/>
          <w:numId w:val="13"/>
        </w:numPr>
      </w:pPr>
      <w:r>
        <w:t xml:space="preserve">By July 1, 2023, DOH </w:t>
      </w:r>
      <w:r w:rsidRPr="003C23F3">
        <w:t>must provide information to licensees regarding available health equity courses.</w:t>
      </w:r>
      <w:r>
        <w:t xml:space="preserve"> </w:t>
      </w:r>
    </w:p>
    <w:p w14:paraId="08D55022" w14:textId="77777777" w:rsidR="005C48FF" w:rsidRDefault="005C48FF" w:rsidP="005C48FF">
      <w:pPr>
        <w:pStyle w:val="ListParagraph"/>
        <w:ind w:left="1440"/>
      </w:pPr>
    </w:p>
    <w:p w14:paraId="05224CCD" w14:textId="4E56D444" w:rsidR="005C48FF" w:rsidRPr="005C48FF" w:rsidRDefault="005C48FF" w:rsidP="005C48FF">
      <w:pPr>
        <w:pStyle w:val="ListParagraph"/>
        <w:numPr>
          <w:ilvl w:val="0"/>
          <w:numId w:val="13"/>
        </w:numPr>
        <w:rPr>
          <w:rFonts w:cs="Arial"/>
          <w:b/>
          <w:bCs/>
          <w:color w:val="333333"/>
          <w:shd w:val="clear" w:color="auto" w:fill="FFFFFF"/>
        </w:rPr>
      </w:pPr>
      <w:r w:rsidRPr="004C51CF">
        <w:rPr>
          <w:b/>
          <w:bCs/>
          <w:color w:val="000000"/>
        </w:rPr>
        <w:t>SB 5284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the </w:t>
      </w:r>
      <w:r w:rsidRPr="004C51CF">
        <w:rPr>
          <w:color w:val="000000"/>
        </w:rPr>
        <w:t xml:space="preserve">bill </w:t>
      </w:r>
      <w:r w:rsidRPr="005076DD">
        <w:rPr>
          <w:rFonts w:eastAsia="Times New Roman" w:cs="Times New Roman"/>
        </w:rPr>
        <w:t>eliminating subminimum wage</w:t>
      </w:r>
      <w:r w:rsidRPr="004C51CF">
        <w:rPr>
          <w:rFonts w:eastAsia="Times New Roman" w:cs="Times New Roman"/>
        </w:rPr>
        <w:t xml:space="preserve"> certificates for people with disabilities after July 31, 202</w:t>
      </w:r>
      <w:r>
        <w:rPr>
          <w:rFonts w:eastAsia="Times New Roman" w:cs="Times New Roman"/>
        </w:rPr>
        <w:t xml:space="preserve">3, </w:t>
      </w:r>
      <w:r w:rsidRPr="00751F2E">
        <w:rPr>
          <w:rFonts w:cs="Arial"/>
          <w:b/>
          <w:bCs/>
          <w:color w:val="333333"/>
          <w:shd w:val="clear" w:color="auto" w:fill="FFFFFF"/>
        </w:rPr>
        <w:t xml:space="preserve">was signed into law </w:t>
      </w:r>
      <w:r>
        <w:rPr>
          <w:rFonts w:cs="Arial"/>
          <w:b/>
          <w:bCs/>
          <w:color w:val="333333"/>
          <w:shd w:val="clear" w:color="auto" w:fill="FFFFFF"/>
        </w:rPr>
        <w:t>on April 16</w:t>
      </w:r>
      <w:r w:rsidRPr="005C48FF">
        <w:rPr>
          <w:rFonts w:cs="Arial"/>
          <w:b/>
          <w:bCs/>
          <w:color w:val="333333"/>
          <w:shd w:val="clear" w:color="auto" w:fill="FFFFFF"/>
          <w:vertAlign w:val="superscript"/>
        </w:rPr>
        <w:t>th</w:t>
      </w:r>
      <w:r>
        <w:rPr>
          <w:rFonts w:cs="Arial"/>
          <w:b/>
          <w:bCs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>and becomes effective on July 25</w:t>
      </w:r>
      <w:r w:rsidRPr="005C48FF">
        <w:rPr>
          <w:rFonts w:cs="Arial"/>
          <w:color w:val="333333"/>
          <w:shd w:val="clear" w:color="auto" w:fill="FFFFFF"/>
          <w:vertAlign w:val="superscript"/>
        </w:rPr>
        <w:t>th</w:t>
      </w:r>
      <w:r w:rsidRPr="00751F2E">
        <w:rPr>
          <w:rFonts w:cs="Arial"/>
          <w:b/>
          <w:bCs/>
          <w:color w:val="333333"/>
          <w:shd w:val="clear" w:color="auto" w:fill="FFFFFF"/>
        </w:rPr>
        <w:t>!</w:t>
      </w:r>
      <w:r w:rsidRPr="00FD50DB">
        <w:rPr>
          <w:rFonts w:eastAsia="Times New Roman" w:cs="Calibri"/>
          <w:b/>
          <w:bCs/>
          <w:color w:val="000000"/>
        </w:rPr>
        <w:t xml:space="preserve"> </w:t>
      </w:r>
    </w:p>
    <w:p w14:paraId="3FEC7577" w14:textId="77777777" w:rsidR="00BA4208" w:rsidRDefault="00BA4208" w:rsidP="00BA4208">
      <w:pPr>
        <w:pStyle w:val="Heading1"/>
      </w:pPr>
      <w:r>
        <w:t>Thank you!</w:t>
      </w:r>
    </w:p>
    <w:p w14:paraId="6D63267A" w14:textId="77777777" w:rsidR="00BA4208" w:rsidRDefault="00BA4208" w:rsidP="00BA4208"/>
    <w:p w14:paraId="69D3EC4A" w14:textId="20141045" w:rsidR="00BA4208" w:rsidRDefault="00BA4208" w:rsidP="00BA4208">
      <w:r>
        <w:t xml:space="preserve">Finally, I want to thank </w:t>
      </w:r>
      <w:r>
        <w:t xml:space="preserve">our WSLHA leaders, especially </w:t>
      </w:r>
      <w:proofErr w:type="spellStart"/>
      <w:r>
        <w:t>Nichie</w:t>
      </w:r>
      <w:proofErr w:type="spellEnd"/>
      <w:r>
        <w:t xml:space="preserve"> L</w:t>
      </w:r>
      <w:r w:rsidR="005C48FF">
        <w:t>e</w:t>
      </w:r>
      <w:r>
        <w:t>ssard, Past President Extraordinaire,</w:t>
      </w:r>
    </w:p>
    <w:p w14:paraId="0FC804C5" w14:textId="3C9B4BD4" w:rsidR="00BA4208" w:rsidRDefault="00BA4208" w:rsidP="00BA4208">
      <w:r>
        <w:t xml:space="preserve">for their extraordinary efforts during the legislative session (and the months leading up to it).  And </w:t>
      </w:r>
      <w:r>
        <w:t>thanks to WSLHA members who continue to value the work of our association!</w:t>
      </w:r>
    </w:p>
    <w:p w14:paraId="6F1C05DB" w14:textId="77777777" w:rsidR="00F86A53" w:rsidRDefault="00F86A53"/>
    <w:p w14:paraId="21198B03" w14:textId="77777777" w:rsidR="00F86A53" w:rsidRDefault="00B03CA1">
      <w:r>
        <w:rPr>
          <w:noProof/>
        </w:rPr>
        <w:pict w14:anchorId="2A1787AB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6BF6ADA8" w14:textId="77777777" w:rsidR="00F86A53" w:rsidRDefault="00F86A53"/>
    <w:p w14:paraId="3D16ADD5" w14:textId="77777777" w:rsidR="00B03CA1" w:rsidRDefault="00B03CA1" w:rsidP="00CD1F69">
      <w:pPr>
        <w:pStyle w:val="Heading2"/>
      </w:pPr>
    </w:p>
    <w:sectPr w:rsidR="00B03CA1" w:rsidSect="002A7CED">
      <w:footerReference w:type="default" r:id="rId7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CB259" w14:textId="77777777" w:rsidR="00B03CA1" w:rsidRDefault="00B03CA1">
      <w:r>
        <w:separator/>
      </w:r>
    </w:p>
  </w:endnote>
  <w:endnote w:type="continuationSeparator" w:id="0">
    <w:p w14:paraId="6D4D9CE0" w14:textId="77777777" w:rsidR="00B03CA1" w:rsidRDefault="00B0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E77B" w14:textId="77777777" w:rsidR="00F86A53" w:rsidRDefault="00B03CA1">
    <w:pPr>
      <w:spacing w:before="240" w:after="240"/>
    </w:pPr>
    <w:r>
      <w:rPr>
        <w:color w:val="000000"/>
      </w:rPr>
      <w:t>Detail Report</w:t>
    </w:r>
    <w:r>
      <w:rPr>
        <w:color w:val="000000"/>
      </w:rPr>
      <w:br/>
      <w:t>April 26, 2021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721750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7217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71AE" w14:textId="77777777" w:rsidR="00B03CA1" w:rsidRDefault="00B03CA1">
      <w:r>
        <w:separator/>
      </w:r>
    </w:p>
  </w:footnote>
  <w:footnote w:type="continuationSeparator" w:id="0">
    <w:p w14:paraId="1364773F" w14:textId="77777777" w:rsidR="00B03CA1" w:rsidRDefault="00B0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40CB"/>
    <w:multiLevelType w:val="hybridMultilevel"/>
    <w:tmpl w:val="D37CF7CC"/>
    <w:lvl w:ilvl="0" w:tplc="38758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262"/>
    <w:multiLevelType w:val="hybridMultilevel"/>
    <w:tmpl w:val="37B2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E72"/>
    <w:multiLevelType w:val="hybridMultilevel"/>
    <w:tmpl w:val="393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6BAD"/>
    <w:multiLevelType w:val="hybridMultilevel"/>
    <w:tmpl w:val="13B4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567A"/>
    <w:multiLevelType w:val="hybridMultilevel"/>
    <w:tmpl w:val="ADA8BA76"/>
    <w:lvl w:ilvl="0" w:tplc="71035812">
      <w:start w:val="1"/>
      <w:numFmt w:val="decimal"/>
      <w:lvlText w:val="%1."/>
      <w:lvlJc w:val="left"/>
      <w:pPr>
        <w:ind w:left="720" w:hanging="360"/>
      </w:pPr>
    </w:lvl>
    <w:lvl w:ilvl="1" w:tplc="71035812" w:tentative="1">
      <w:start w:val="1"/>
      <w:numFmt w:val="lowerLetter"/>
      <w:lvlText w:val="%2."/>
      <w:lvlJc w:val="left"/>
      <w:pPr>
        <w:ind w:left="1440" w:hanging="360"/>
      </w:pPr>
    </w:lvl>
    <w:lvl w:ilvl="2" w:tplc="71035812" w:tentative="1">
      <w:start w:val="1"/>
      <w:numFmt w:val="lowerRoman"/>
      <w:lvlText w:val="%3."/>
      <w:lvlJc w:val="right"/>
      <w:pPr>
        <w:ind w:left="2160" w:hanging="180"/>
      </w:pPr>
    </w:lvl>
    <w:lvl w:ilvl="3" w:tplc="71035812" w:tentative="1">
      <w:start w:val="1"/>
      <w:numFmt w:val="decimal"/>
      <w:lvlText w:val="%4."/>
      <w:lvlJc w:val="left"/>
      <w:pPr>
        <w:ind w:left="2880" w:hanging="360"/>
      </w:pPr>
    </w:lvl>
    <w:lvl w:ilvl="4" w:tplc="71035812" w:tentative="1">
      <w:start w:val="1"/>
      <w:numFmt w:val="lowerLetter"/>
      <w:lvlText w:val="%5."/>
      <w:lvlJc w:val="left"/>
      <w:pPr>
        <w:ind w:left="3600" w:hanging="360"/>
      </w:pPr>
    </w:lvl>
    <w:lvl w:ilvl="5" w:tplc="71035812" w:tentative="1">
      <w:start w:val="1"/>
      <w:numFmt w:val="lowerRoman"/>
      <w:lvlText w:val="%6."/>
      <w:lvlJc w:val="right"/>
      <w:pPr>
        <w:ind w:left="4320" w:hanging="180"/>
      </w:pPr>
    </w:lvl>
    <w:lvl w:ilvl="6" w:tplc="71035812" w:tentative="1">
      <w:start w:val="1"/>
      <w:numFmt w:val="decimal"/>
      <w:lvlText w:val="%7."/>
      <w:lvlJc w:val="left"/>
      <w:pPr>
        <w:ind w:left="5040" w:hanging="360"/>
      </w:pPr>
    </w:lvl>
    <w:lvl w:ilvl="7" w:tplc="71035812" w:tentative="1">
      <w:start w:val="1"/>
      <w:numFmt w:val="lowerLetter"/>
      <w:lvlText w:val="%8."/>
      <w:lvlJc w:val="left"/>
      <w:pPr>
        <w:ind w:left="5760" w:hanging="360"/>
      </w:pPr>
    </w:lvl>
    <w:lvl w:ilvl="8" w:tplc="71035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EA6B9E"/>
    <w:multiLevelType w:val="multilevel"/>
    <w:tmpl w:val="B218C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E887965"/>
    <w:multiLevelType w:val="hybridMultilevel"/>
    <w:tmpl w:val="5C02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74CD4"/>
    <w:multiLevelType w:val="hybridMultilevel"/>
    <w:tmpl w:val="305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166E1A"/>
    <w:rsid w:val="00190762"/>
    <w:rsid w:val="00253FC7"/>
    <w:rsid w:val="002A7CED"/>
    <w:rsid w:val="00332050"/>
    <w:rsid w:val="00403577"/>
    <w:rsid w:val="005C48FF"/>
    <w:rsid w:val="00624664"/>
    <w:rsid w:val="006E2870"/>
    <w:rsid w:val="00721750"/>
    <w:rsid w:val="007C4D0A"/>
    <w:rsid w:val="00843371"/>
    <w:rsid w:val="00A93BCE"/>
    <w:rsid w:val="00AC30E5"/>
    <w:rsid w:val="00B03CA1"/>
    <w:rsid w:val="00BA4208"/>
    <w:rsid w:val="00CD1F69"/>
    <w:rsid w:val="00D916BB"/>
    <w:rsid w:val="00E322A2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81033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2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2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Melissa</cp:lastModifiedBy>
  <cp:revision>3</cp:revision>
  <dcterms:created xsi:type="dcterms:W3CDTF">2021-04-26T19:29:00Z</dcterms:created>
  <dcterms:modified xsi:type="dcterms:W3CDTF">2021-04-26T19:29:00Z</dcterms:modified>
  <cp:category/>
</cp:coreProperties>
</file>