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92E4" w14:textId="77777777" w:rsidR="00576865" w:rsidRDefault="00576865">
      <w:pPr>
        <w:pStyle w:val="Title"/>
      </w:pPr>
      <w:r>
        <w:t>WSLHA Legislative</w:t>
      </w:r>
      <w:r w:rsidR="00066241">
        <w:t xml:space="preserve"> Report</w:t>
      </w:r>
      <w:r>
        <w:t xml:space="preserve"> </w:t>
      </w:r>
    </w:p>
    <w:p w14:paraId="7FD3103D" w14:textId="77777777" w:rsidR="00576865" w:rsidRDefault="00576865">
      <w:pPr>
        <w:pStyle w:val="Title"/>
      </w:pPr>
      <w:r>
        <w:t xml:space="preserve">January 6, 2022 </w:t>
      </w:r>
    </w:p>
    <w:p w14:paraId="5F22E513" w14:textId="77777777" w:rsidR="00585087" w:rsidRDefault="00576865">
      <w:pPr>
        <w:pStyle w:val="Title"/>
      </w:pPr>
      <w:r>
        <w:t>Melissa Johnson, Lobbyist</w:t>
      </w:r>
    </w:p>
    <w:p w14:paraId="58BAFFEA" w14:textId="77777777" w:rsidR="00576865" w:rsidRPr="00576865" w:rsidRDefault="00EF2761" w:rsidP="00576865">
      <w:r>
        <w:rPr>
          <w:noProof/>
        </w:rPr>
        <w:pict w14:anchorId="0A9B73B1">
          <v:line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95pt" to="54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" strokecolor="#4f81bd [3204]" strokeweight="2pt">
            <v:shadow on="t" opacity="24903f" origin=",.5" offset="0,.55556mm"/>
          </v:line>
        </w:pict>
      </w:r>
    </w:p>
    <w:p w14:paraId="18F89112" w14:textId="77777777" w:rsidR="00585087" w:rsidRDefault="00066241">
      <w:pPr>
        <w:pStyle w:val="Heading1"/>
      </w:pPr>
      <w:r>
        <w:t>Upcoming Events</w:t>
      </w:r>
    </w:p>
    <w:p w14:paraId="12E229F2" w14:textId="77777777" w:rsidR="00585087" w:rsidRDefault="00585087"/>
    <w:p w14:paraId="096FEA8E" w14:textId="77777777" w:rsidR="00585087" w:rsidRDefault="00066241">
      <w:r>
        <w:rPr>
          <w:b/>
          <w:color w:val="000000"/>
        </w:rPr>
        <w:t>College &amp; Workforce Development (House) - Virtual - 1/12 @ 8:00am</w:t>
      </w:r>
    </w:p>
    <w:p w14:paraId="2586018F" w14:textId="77777777" w:rsidR="00585087" w:rsidRDefault="00585087"/>
    <w:p w14:paraId="20F698BA" w14:textId="77777777" w:rsidR="00585087" w:rsidRDefault="00066241">
      <w:pPr>
        <w:pStyle w:val="ListParagraphPHPDOCX"/>
        <w:numPr>
          <w:ilvl w:val="0"/>
          <w:numId w:val="10"/>
        </w:numPr>
      </w:pPr>
      <w:r w:rsidRPr="00576865">
        <w:rPr>
          <w:highlight w:val="yellow"/>
        </w:rPr>
        <w:t>HB 1659 - Public Hearing - Making higher education more affordable and accessible for students by bridging the gap between cost and need to reduce barriers, improve opportunity, and advance economic security.</w:t>
      </w:r>
      <w:r>
        <w:t xml:space="preserve"> (Remote testimony.) (If measure is referred to committee.)</w:t>
      </w:r>
    </w:p>
    <w:p w14:paraId="2F4DDFE1" w14:textId="77777777" w:rsidR="00576865" w:rsidRDefault="00576865" w:rsidP="00576865">
      <w:pPr>
        <w:pStyle w:val="ListParagraph"/>
        <w:numPr>
          <w:ilvl w:val="1"/>
          <w:numId w:val="10"/>
        </w:numPr>
        <w:rPr>
          <w:rFonts w:eastAsia="Times New Roman" w:cstheme="majorHAnsi"/>
        </w:rPr>
      </w:pPr>
      <w:r w:rsidRPr="007B406A">
        <w:rPr>
          <w:rFonts w:cstheme="majorHAnsi"/>
        </w:rPr>
        <w:t xml:space="preserve">This bill provides </w:t>
      </w:r>
      <w:r w:rsidRPr="007B406A">
        <w:rPr>
          <w:rFonts w:eastAsia="Times New Roman" w:cstheme="majorHAnsi"/>
        </w:rPr>
        <w:t xml:space="preserve">financial support through grants to low-income students to cover higher education expenses beyond tuition and fees, such as books, lab fees, supplies, technology, transportation, housing, and </w:t>
      </w:r>
      <w:proofErr w:type="gramStart"/>
      <w:r w:rsidRPr="007B406A">
        <w:rPr>
          <w:rFonts w:eastAsia="Times New Roman" w:cstheme="majorHAnsi"/>
        </w:rPr>
        <w:t>child care</w:t>
      </w:r>
      <w:proofErr w:type="gramEnd"/>
      <w:r w:rsidRPr="007B406A">
        <w:rPr>
          <w:rFonts w:eastAsia="Times New Roman" w:cstheme="majorHAnsi"/>
        </w:rPr>
        <w:t>.</w:t>
      </w:r>
    </w:p>
    <w:p w14:paraId="59927914" w14:textId="77777777" w:rsidR="00576865" w:rsidRPr="007B406A" w:rsidRDefault="00576865" w:rsidP="00576865">
      <w:pPr>
        <w:pStyle w:val="ListParagraph"/>
        <w:numPr>
          <w:ilvl w:val="1"/>
          <w:numId w:val="10"/>
        </w:numPr>
        <w:rPr>
          <w:rFonts w:eastAsia="Times New Roman" w:cstheme="majorHAnsi"/>
          <w:highlight w:val="yellow"/>
        </w:rPr>
      </w:pPr>
      <w:r w:rsidRPr="007B406A">
        <w:rPr>
          <w:rFonts w:eastAsia="Times New Roman" w:cstheme="majorHAnsi"/>
          <w:highlight w:val="yellow"/>
        </w:rPr>
        <w:t>Recommendation:  sign in support</w:t>
      </w:r>
    </w:p>
    <w:p w14:paraId="633BD2E6" w14:textId="77777777" w:rsidR="00576865" w:rsidRDefault="00576865" w:rsidP="00576865">
      <w:pPr>
        <w:pStyle w:val="ListParagraphPHPDOCX"/>
        <w:ind w:left="1440"/>
      </w:pPr>
    </w:p>
    <w:p w14:paraId="0916AB35" w14:textId="77777777" w:rsidR="00585087" w:rsidRDefault="00066241">
      <w:pPr>
        <w:pStyle w:val="ListParagraphPHPDOCX"/>
        <w:numPr>
          <w:ilvl w:val="0"/>
          <w:numId w:val="10"/>
        </w:numPr>
      </w:pPr>
      <w:r w:rsidRPr="00576865">
        <w:rPr>
          <w:highlight w:val="yellow"/>
        </w:rPr>
        <w:t>HB 1736 - Public Hearing - Establishing a state student loan program</w:t>
      </w:r>
      <w:r>
        <w:t>. (Remote testimony.) (If measure is referred to committee.)</w:t>
      </w:r>
    </w:p>
    <w:p w14:paraId="45B2C813" w14:textId="77777777" w:rsidR="00576865" w:rsidRPr="00576865" w:rsidRDefault="00576865" w:rsidP="00576865">
      <w:pPr>
        <w:pStyle w:val="ListParagraph"/>
        <w:numPr>
          <w:ilvl w:val="1"/>
          <w:numId w:val="10"/>
        </w:numPr>
        <w:rPr>
          <w:rFonts w:eastAsia="Times New Roman" w:cstheme="majorHAnsi"/>
          <w:highlight w:val="yellow"/>
        </w:rPr>
      </w:pPr>
      <w:r w:rsidRPr="007B406A">
        <w:rPr>
          <w:rFonts w:eastAsia="Times New Roman" w:cstheme="majorHAnsi"/>
          <w:highlight w:val="yellow"/>
        </w:rPr>
        <w:t>Recommendation:  sign in support</w:t>
      </w:r>
    </w:p>
    <w:p w14:paraId="76B2671A" w14:textId="77777777" w:rsidR="00585087" w:rsidRDefault="00585087"/>
    <w:p w14:paraId="352A475C" w14:textId="77777777" w:rsidR="00585087" w:rsidRDefault="00066241">
      <w:r>
        <w:rPr>
          <w:b/>
          <w:color w:val="000000"/>
        </w:rPr>
        <w:t>Health &amp; Long Term Care (Senate) - Virtual - 1/12 @ 8:00am</w:t>
      </w:r>
    </w:p>
    <w:p w14:paraId="32005217" w14:textId="77777777" w:rsidR="00585087" w:rsidRDefault="00585087"/>
    <w:p w14:paraId="515A02A3" w14:textId="77777777" w:rsidR="00585087" w:rsidRDefault="00066241">
      <w:pPr>
        <w:pStyle w:val="ListParagraphPHPDOCX"/>
        <w:numPr>
          <w:ilvl w:val="0"/>
          <w:numId w:val="10"/>
        </w:numPr>
      </w:pPr>
      <w:r>
        <w:t>SB 5496 - Public Hearing - Concerning health professional monitoring programs. (Remote testimony.) (If measure is referred to committee.)</w:t>
      </w:r>
    </w:p>
    <w:p w14:paraId="05240F98" w14:textId="77777777" w:rsidR="00585087" w:rsidRDefault="00585087"/>
    <w:p w14:paraId="5376EEAB" w14:textId="77777777" w:rsidR="00585087" w:rsidRDefault="00066241">
      <w:r>
        <w:rPr>
          <w:b/>
          <w:color w:val="000000"/>
        </w:rPr>
        <w:t>Health Care &amp; Wellness (House) - Virtual - 1/12 @ 8:00am</w:t>
      </w:r>
    </w:p>
    <w:p w14:paraId="14AEF5A8" w14:textId="77777777" w:rsidR="00585087" w:rsidRDefault="00585087"/>
    <w:p w14:paraId="1712F837" w14:textId="77777777" w:rsidR="00585087" w:rsidRDefault="00066241">
      <w:pPr>
        <w:pStyle w:val="ListParagraphPHPDOCX"/>
        <w:numPr>
          <w:ilvl w:val="0"/>
          <w:numId w:val="10"/>
        </w:numPr>
      </w:pPr>
      <w:r>
        <w:t>HB 1688 - Public Hearing - Protecting consumers from charges for out-of-network health care services, by aligning state law and the federal no surprises act and addressing coverage of treatment for emergency conditions. (Remote testimony.) (If measure is referred to committee.)</w:t>
      </w:r>
    </w:p>
    <w:p w14:paraId="4DC902B6" w14:textId="77777777" w:rsidR="00585087" w:rsidRDefault="00066241">
      <w:pPr>
        <w:pStyle w:val="ListParagraphPHPDOCX"/>
        <w:numPr>
          <w:ilvl w:val="0"/>
          <w:numId w:val="10"/>
        </w:numPr>
      </w:pPr>
      <w:r>
        <w:t>HB 1708 - Public Hearing - Concerning facility fees for audio-only telemedicine. (Remote testimony.) (If measure is referred to committee.)</w:t>
      </w:r>
    </w:p>
    <w:p w14:paraId="3379EAD1" w14:textId="77777777" w:rsidR="00585087" w:rsidRDefault="00066241">
      <w:pPr>
        <w:pStyle w:val="ListParagraphPHPDOCX"/>
        <w:numPr>
          <w:ilvl w:val="0"/>
          <w:numId w:val="10"/>
        </w:numPr>
      </w:pPr>
      <w:r>
        <w:t>HB 1741 - Public Hearing - Addressing affordability through health care provider contracting. (Remote testimony.) (If measure is referred to committee.)</w:t>
      </w:r>
    </w:p>
    <w:p w14:paraId="67322093" w14:textId="77777777" w:rsidR="00585087" w:rsidRDefault="00585087"/>
    <w:p w14:paraId="0918A0A4" w14:textId="77777777" w:rsidR="00585087" w:rsidRDefault="00066241">
      <w:r>
        <w:rPr>
          <w:b/>
          <w:color w:val="000000"/>
        </w:rPr>
        <w:t>Early Learning &amp; K-12 Education (Senate) - Virtual - 1/12 @ 10:30am</w:t>
      </w:r>
    </w:p>
    <w:p w14:paraId="10D76303" w14:textId="77777777" w:rsidR="00585087" w:rsidRDefault="00585087"/>
    <w:p w14:paraId="31FE1CBE" w14:textId="77777777" w:rsidR="00585087" w:rsidRDefault="00066241">
      <w:pPr>
        <w:pStyle w:val="ListParagraphPHPDOCX"/>
        <w:numPr>
          <w:ilvl w:val="0"/>
          <w:numId w:val="10"/>
        </w:numPr>
      </w:pPr>
      <w:r>
        <w:t>SB 5563 - Public Hearing - Concerning enrollment stabilization funding to address enrollment declines due to the COVID-19 pandemic. (Remote testimony.) (If measure is referred to committee.)</w:t>
      </w:r>
    </w:p>
    <w:p w14:paraId="7CA176C4" w14:textId="77777777" w:rsidR="00585087" w:rsidRDefault="00585087"/>
    <w:p w14:paraId="595643EC" w14:textId="77777777" w:rsidR="00585087" w:rsidRDefault="00066241">
      <w:r>
        <w:rPr>
          <w:b/>
          <w:color w:val="000000"/>
        </w:rPr>
        <w:t>Early Learning &amp; K-12 Education (Senate) - Virtual - 1/14 @ 8:00am</w:t>
      </w:r>
    </w:p>
    <w:p w14:paraId="5D78A55A" w14:textId="77777777" w:rsidR="00585087" w:rsidRDefault="00585087"/>
    <w:p w14:paraId="786C47C2" w14:textId="77777777" w:rsidR="00585087" w:rsidRDefault="00066241">
      <w:pPr>
        <w:pStyle w:val="ListParagraphPHPDOCX"/>
        <w:numPr>
          <w:ilvl w:val="0"/>
          <w:numId w:val="10"/>
        </w:numPr>
      </w:pPr>
      <w:r>
        <w:lastRenderedPageBreak/>
        <w:t>SB 5487 - Public Hearing - Concerning small school district consolidation incentives for infrastructure enhancement and modernization. (Remote testimony.) (If measure is referred to committee.)</w:t>
      </w:r>
    </w:p>
    <w:p w14:paraId="6D09C40D" w14:textId="77777777" w:rsidR="00585087" w:rsidRDefault="00585087"/>
    <w:p w14:paraId="2AB31A30" w14:textId="77777777" w:rsidR="00585087" w:rsidRDefault="00066241">
      <w:r>
        <w:rPr>
          <w:b/>
          <w:color w:val="000000"/>
        </w:rPr>
        <w:t>Labor &amp; Workplace Standards (House) - Virtual - 1/14 @ 8:00am</w:t>
      </w:r>
    </w:p>
    <w:p w14:paraId="340079D5" w14:textId="77777777" w:rsidR="00585087" w:rsidRDefault="00585087"/>
    <w:p w14:paraId="114EA46B" w14:textId="77777777" w:rsidR="00585087" w:rsidRDefault="00066241">
      <w:pPr>
        <w:pStyle w:val="ListParagraphPHPDOCX"/>
        <w:numPr>
          <w:ilvl w:val="0"/>
          <w:numId w:val="10"/>
        </w:numPr>
      </w:pPr>
      <w:r>
        <w:t>HB 1763 - Public Hearing - Concerning injured workers' rights during independent medical examinations. (Remote testimony.) (If measure is referred to committee.)</w:t>
      </w:r>
    </w:p>
    <w:p w14:paraId="11064DA7" w14:textId="77777777" w:rsidR="00585087" w:rsidRDefault="00585087"/>
    <w:p w14:paraId="7D792F98" w14:textId="77777777" w:rsidR="00DC7EAD" w:rsidRPr="000B2568" w:rsidRDefault="00DC7EAD" w:rsidP="00DC7EAD">
      <w:pPr>
        <w:pStyle w:val="Title"/>
        <w:rPr>
          <w:sz w:val="28"/>
          <w:szCs w:val="48"/>
        </w:rPr>
      </w:pPr>
      <w:r w:rsidRPr="000B2568">
        <w:rPr>
          <w:sz w:val="28"/>
          <w:szCs w:val="48"/>
        </w:rPr>
        <w:t xml:space="preserve">Capitol News </w:t>
      </w:r>
    </w:p>
    <w:p w14:paraId="2D23DA1F" w14:textId="77777777" w:rsidR="00DC7EAD" w:rsidRPr="000B2568" w:rsidRDefault="00DC7EAD" w:rsidP="00DC7EAD">
      <w:pPr>
        <w:pStyle w:val="Title"/>
        <w:rPr>
          <w:sz w:val="28"/>
          <w:szCs w:val="48"/>
        </w:rPr>
      </w:pPr>
      <w:r w:rsidRPr="000B2568">
        <w:rPr>
          <w:sz w:val="28"/>
          <w:szCs w:val="48"/>
        </w:rPr>
        <w:t xml:space="preserve">January 9, 2022 </w:t>
      </w:r>
    </w:p>
    <w:p w14:paraId="5373B37F" w14:textId="77777777" w:rsidR="00DC7EAD" w:rsidRPr="000B2568" w:rsidRDefault="00DC7EAD" w:rsidP="00DC7EAD">
      <w:pPr>
        <w:pStyle w:val="Title"/>
        <w:rPr>
          <w:sz w:val="28"/>
          <w:szCs w:val="48"/>
        </w:rPr>
      </w:pPr>
      <w:r w:rsidRPr="000B2568">
        <w:rPr>
          <w:sz w:val="28"/>
          <w:szCs w:val="48"/>
        </w:rPr>
        <w:t>Melissa Johnson, WSLHA Lobbyist</w:t>
      </w:r>
    </w:p>
    <w:p w14:paraId="18B9FFFB" w14:textId="18D27E25" w:rsidR="00DC7EAD" w:rsidRPr="00EC28A8" w:rsidRDefault="00DC7EAD" w:rsidP="00DC7EAD">
      <w:r>
        <w:rPr>
          <w:noProof/>
        </w:rPr>
        <w:pict w14:anchorId="04284B04">
          <v:line id="Straight Connector 29" o:spid="_x0000_s10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7pt" to="56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" strokecolor="#4f81bd [3204]" strokeweight="2pt">
            <v:shadow on="t" color="black" opacity="24903f" origin=",.5" offset="0,.55556mm"/>
          </v:line>
        </w:pict>
      </w:r>
    </w:p>
    <w:p w14:paraId="329E08CA"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r w:rsidRPr="000B2568">
        <w:rPr>
          <w:rFonts w:cs="Calibri"/>
          <w:sz w:val="20"/>
          <w:szCs w:val="20"/>
        </w:rPr>
        <w:t>The 2022 session begins on Monday, January 10</w:t>
      </w:r>
      <w:r w:rsidRPr="000B2568">
        <w:rPr>
          <w:rFonts w:cs="Calibri"/>
          <w:sz w:val="20"/>
          <w:szCs w:val="20"/>
          <w:vertAlign w:val="superscript"/>
        </w:rPr>
        <w:t>th</w:t>
      </w:r>
      <w:r w:rsidRPr="000B2568">
        <w:rPr>
          <w:rFonts w:cs="Calibri"/>
          <w:sz w:val="20"/>
          <w:szCs w:val="20"/>
        </w:rPr>
        <w:t xml:space="preserve">.  This is a short, 60-day session.  The </w:t>
      </w:r>
      <w:r w:rsidRPr="000B2568">
        <w:rPr>
          <w:rFonts w:cs="Calibri"/>
          <w:color w:val="000000" w:themeColor="text1"/>
          <w:sz w:val="20"/>
          <w:szCs w:val="20"/>
        </w:rPr>
        <w:t xml:space="preserve">House and Senate have revised their session plan and will now conduct all business remotely, including floor sessions, and will revisit this plan throughout session.   All House and Senate committee hearings will be conducted virtually, like last session.  </w:t>
      </w:r>
    </w:p>
    <w:p w14:paraId="73C40798"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p>
    <w:p w14:paraId="426446BC"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r w:rsidRPr="000B2568">
        <w:rPr>
          <w:rFonts w:cs="Calibri"/>
          <w:color w:val="000000" w:themeColor="text1"/>
          <w:sz w:val="20"/>
          <w:szCs w:val="20"/>
        </w:rPr>
        <w:t xml:space="preserve">Despite the time constraints inherent in a short session, over 560 bills have been </w:t>
      </w:r>
      <w:proofErr w:type="spellStart"/>
      <w:r w:rsidRPr="000B2568">
        <w:rPr>
          <w:rFonts w:cs="Calibri"/>
          <w:color w:val="000000" w:themeColor="text1"/>
          <w:sz w:val="20"/>
          <w:szCs w:val="20"/>
        </w:rPr>
        <w:t>prefiled</w:t>
      </w:r>
      <w:proofErr w:type="spellEnd"/>
      <w:r w:rsidRPr="000B2568">
        <w:rPr>
          <w:rFonts w:cs="Calibri"/>
          <w:color w:val="000000" w:themeColor="text1"/>
          <w:sz w:val="20"/>
          <w:szCs w:val="20"/>
        </w:rPr>
        <w:t xml:space="preserve"> to date.  Policy committees have between 8 to 12 hearings between now and the first policy committee cutoff on February 3</w:t>
      </w:r>
      <w:r w:rsidRPr="000B2568">
        <w:rPr>
          <w:rFonts w:cs="Calibri"/>
          <w:color w:val="000000" w:themeColor="text1"/>
          <w:sz w:val="20"/>
          <w:szCs w:val="20"/>
          <w:vertAlign w:val="superscript"/>
        </w:rPr>
        <w:t>rd</w:t>
      </w:r>
      <w:r w:rsidRPr="000B2568">
        <w:rPr>
          <w:rFonts w:cs="Calibri"/>
          <w:color w:val="000000" w:themeColor="text1"/>
          <w:sz w:val="20"/>
          <w:szCs w:val="20"/>
        </w:rPr>
        <w:t>.  It suggests that many of these bills will die before even receiving a hearing.  The schedule gets even tighter for those bills that cross over to the opposite house.  There are only 9 days for hearings on bills that have passed one house.  It will be a fast session!</w:t>
      </w:r>
    </w:p>
    <w:p w14:paraId="1BFA5F29"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p>
    <w:p w14:paraId="6F215898"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r w:rsidRPr="000B2568">
        <w:rPr>
          <w:rFonts w:cs="Calibri"/>
          <w:color w:val="000000" w:themeColor="text1"/>
          <w:sz w:val="20"/>
          <w:szCs w:val="20"/>
        </w:rPr>
        <w:t xml:space="preserve">The Legislature will prioritize several issues this session, including policing laws, the </w:t>
      </w:r>
      <w:proofErr w:type="gramStart"/>
      <w:r w:rsidRPr="000B2568">
        <w:rPr>
          <w:rFonts w:cs="Calibri"/>
          <w:color w:val="000000" w:themeColor="text1"/>
          <w:sz w:val="20"/>
          <w:szCs w:val="20"/>
        </w:rPr>
        <w:t>Long Term</w:t>
      </w:r>
      <w:proofErr w:type="gramEnd"/>
      <w:r w:rsidRPr="000B2568">
        <w:rPr>
          <w:rFonts w:cs="Calibri"/>
          <w:color w:val="000000" w:themeColor="text1"/>
          <w:sz w:val="20"/>
          <w:szCs w:val="20"/>
        </w:rPr>
        <w:t xml:space="preserve"> Care Trust, transportation, and affordable housing.  COVID response is also at the top of the list.</w:t>
      </w:r>
    </w:p>
    <w:p w14:paraId="6D50C1F7" w14:textId="77777777" w:rsidR="00DC7EAD" w:rsidRPr="000B2568" w:rsidRDefault="00DC7EAD" w:rsidP="00DC7EAD">
      <w:pPr>
        <w:tabs>
          <w:tab w:val="left" w:pos="2880"/>
          <w:tab w:val="left" w:pos="7020"/>
          <w:tab w:val="left" w:pos="7560"/>
          <w:tab w:val="right" w:leader="underscore" w:pos="10800"/>
        </w:tabs>
        <w:rPr>
          <w:rFonts w:cs="Calibri"/>
          <w:color w:val="000000" w:themeColor="text1"/>
          <w:sz w:val="20"/>
          <w:szCs w:val="20"/>
        </w:rPr>
      </w:pPr>
    </w:p>
    <w:p w14:paraId="4E2E1F95" w14:textId="77777777" w:rsidR="00DC7EAD" w:rsidRPr="000B2568" w:rsidRDefault="00DC7EAD" w:rsidP="00DC7EAD">
      <w:pPr>
        <w:pStyle w:val="Heading1"/>
        <w:spacing w:before="0"/>
        <w:jc w:val="left"/>
        <w:rPr>
          <w:rFonts w:eastAsia="Times New Roman" w:cs="Arial"/>
          <w:b w:val="0"/>
          <w:bCs w:val="0"/>
          <w:color w:val="3F4444"/>
          <w:sz w:val="20"/>
          <w:szCs w:val="20"/>
          <w:shd w:val="clear" w:color="auto" w:fill="FFFFFF"/>
        </w:rPr>
      </w:pPr>
      <w:r w:rsidRPr="000B2568">
        <w:rPr>
          <w:rFonts w:eastAsia="Times New Roman" w:cs="Arial"/>
          <w:b w:val="0"/>
          <w:bCs w:val="0"/>
          <w:color w:val="3F4444"/>
          <w:sz w:val="20"/>
          <w:szCs w:val="20"/>
          <w:shd w:val="clear" w:color="auto" w:fill="FFFFFF"/>
        </w:rPr>
        <w:t xml:space="preserve">The Legislature’s </w:t>
      </w:r>
      <w:hyperlink r:id="rId7" w:history="1">
        <w:r w:rsidRPr="000B2568">
          <w:rPr>
            <w:rStyle w:val="Hyperlink"/>
            <w:rFonts w:eastAsia="Times New Roman" w:cs="Arial"/>
            <w:sz w:val="20"/>
            <w:szCs w:val="20"/>
            <w:shd w:val="clear" w:color="auto" w:fill="FFFFFF"/>
          </w:rPr>
          <w:t>website</w:t>
        </w:r>
      </w:hyperlink>
      <w:r w:rsidRPr="000B2568">
        <w:rPr>
          <w:rFonts w:eastAsia="Times New Roman" w:cs="Arial"/>
          <w:b w:val="0"/>
          <w:bCs w:val="0"/>
          <w:color w:val="3F4444"/>
          <w:sz w:val="20"/>
          <w:szCs w:val="20"/>
          <w:shd w:val="clear" w:color="auto" w:fill="FFFFFF"/>
        </w:rPr>
        <w:t xml:space="preserve"> contains information on legislators’ backgrounds, committee assignments and presentations from hearings.   TVW’s </w:t>
      </w:r>
      <w:hyperlink r:id="rId8" w:history="1">
        <w:r w:rsidRPr="000B2568">
          <w:rPr>
            <w:rStyle w:val="Hyperlink"/>
            <w:rFonts w:eastAsia="Times New Roman" w:cs="Arial"/>
            <w:sz w:val="20"/>
            <w:szCs w:val="20"/>
            <w:shd w:val="clear" w:color="auto" w:fill="FFFFFF"/>
          </w:rPr>
          <w:t>website</w:t>
        </w:r>
      </w:hyperlink>
      <w:r w:rsidRPr="000B2568">
        <w:rPr>
          <w:rFonts w:eastAsia="Times New Roman" w:cs="Arial"/>
          <w:b w:val="0"/>
          <w:bCs w:val="0"/>
          <w:color w:val="3F4444"/>
          <w:sz w:val="20"/>
          <w:szCs w:val="20"/>
          <w:shd w:val="clear" w:color="auto" w:fill="FFFFFF"/>
        </w:rPr>
        <w:t xml:space="preserve"> will show all committee hearings and floor sessions throughout the session.</w:t>
      </w:r>
    </w:p>
    <w:p w14:paraId="5A7E84E6" w14:textId="77777777" w:rsidR="00DC7EAD" w:rsidRPr="000B2568" w:rsidRDefault="00DC7EAD" w:rsidP="00DC7EAD">
      <w:pPr>
        <w:pStyle w:val="Heading1"/>
        <w:rPr>
          <w:sz w:val="24"/>
          <w:szCs w:val="28"/>
        </w:rPr>
      </w:pPr>
      <w:r w:rsidRPr="000B2568">
        <w:rPr>
          <w:sz w:val="24"/>
          <w:szCs w:val="28"/>
        </w:rPr>
        <w:t>WSLHA Priority Bills</w:t>
      </w:r>
    </w:p>
    <w:p w14:paraId="42BD495D" w14:textId="77777777" w:rsidR="00DC7EAD" w:rsidRDefault="00DC7EAD" w:rsidP="00DC7EAD"/>
    <w:p w14:paraId="72B45E82" w14:textId="77777777" w:rsidR="00DC7EAD" w:rsidRPr="000B2568" w:rsidRDefault="00DC7EAD" w:rsidP="00DC7EAD">
      <w:pPr>
        <w:rPr>
          <w:sz w:val="22"/>
          <w:szCs w:val="22"/>
        </w:rPr>
      </w:pPr>
      <w:r w:rsidRPr="000B2568">
        <w:rPr>
          <w:sz w:val="22"/>
          <w:szCs w:val="22"/>
        </w:rPr>
        <w:t xml:space="preserve">WSLHA has two priority bills this session:  </w:t>
      </w:r>
    </w:p>
    <w:p w14:paraId="0C9A8662" w14:textId="77777777" w:rsidR="00DC7EAD" w:rsidRPr="000B2568" w:rsidRDefault="00DC7EAD" w:rsidP="00DC7EAD">
      <w:pPr>
        <w:rPr>
          <w:sz w:val="22"/>
          <w:szCs w:val="22"/>
        </w:rPr>
      </w:pPr>
    </w:p>
    <w:p w14:paraId="1F221979" w14:textId="77777777" w:rsidR="00DC7EAD" w:rsidRPr="000B2568" w:rsidRDefault="00DC7EAD" w:rsidP="00DC7EAD">
      <w:pPr>
        <w:pStyle w:val="ListParagraph"/>
        <w:numPr>
          <w:ilvl w:val="0"/>
          <w:numId w:val="12"/>
        </w:numPr>
        <w:rPr>
          <w:rFonts w:cstheme="minorHAnsi"/>
          <w:sz w:val="22"/>
          <w:szCs w:val="22"/>
        </w:rPr>
      </w:pPr>
      <w:r w:rsidRPr="000B2568">
        <w:rPr>
          <w:b/>
          <w:bCs/>
          <w:sz w:val="22"/>
          <w:szCs w:val="22"/>
        </w:rPr>
        <w:t>HB 1043</w:t>
      </w:r>
      <w:r w:rsidRPr="000B2568">
        <w:rPr>
          <w:sz w:val="22"/>
          <w:szCs w:val="22"/>
        </w:rPr>
        <w:t xml:space="preserve"> </w:t>
      </w:r>
      <w:r w:rsidRPr="000B2568">
        <w:rPr>
          <w:rFonts w:cstheme="minorHAnsi"/>
          <w:bCs/>
          <w:sz w:val="22"/>
          <w:szCs w:val="22"/>
        </w:rPr>
        <w:t xml:space="preserve">establishes Washington as a member of the </w:t>
      </w:r>
      <w:r w:rsidRPr="000B2568">
        <w:rPr>
          <w:rFonts w:cstheme="minorHAnsi"/>
          <w:b/>
          <w:sz w:val="22"/>
          <w:szCs w:val="22"/>
        </w:rPr>
        <w:t>Audiology &amp; Speech-Language Pathology Compact (ASLP-IC).</w:t>
      </w:r>
      <w:r w:rsidRPr="000B2568">
        <w:rPr>
          <w:rFonts w:cstheme="minorHAnsi"/>
          <w:bCs/>
          <w:sz w:val="22"/>
          <w:szCs w:val="22"/>
        </w:rPr>
        <w:t xml:space="preserve">  </w:t>
      </w:r>
      <w:r w:rsidRPr="000B2568">
        <w:rPr>
          <w:rFonts w:cstheme="minorHAnsi"/>
          <w:sz w:val="22"/>
          <w:szCs w:val="22"/>
        </w:rPr>
        <w:t xml:space="preserve">The Compact facilitates the practice of audiology and speech-language pathology by securing a privilege to practice in a member state or through telehealth.  </w:t>
      </w:r>
    </w:p>
    <w:p w14:paraId="7A37EF73" w14:textId="77777777" w:rsidR="00DC7EAD" w:rsidRPr="000B2568" w:rsidRDefault="00DC7EAD" w:rsidP="00DC7EAD">
      <w:pPr>
        <w:pStyle w:val="ListParagraph"/>
        <w:numPr>
          <w:ilvl w:val="0"/>
          <w:numId w:val="12"/>
        </w:numPr>
        <w:rPr>
          <w:rFonts w:cstheme="minorHAnsi"/>
          <w:sz w:val="22"/>
          <w:szCs w:val="22"/>
        </w:rPr>
      </w:pPr>
      <w:r w:rsidRPr="000B2568">
        <w:rPr>
          <w:rFonts w:cstheme="minorHAnsi"/>
          <w:b/>
          <w:bCs/>
          <w:color w:val="000000" w:themeColor="text1"/>
          <w:sz w:val="22"/>
          <w:szCs w:val="22"/>
          <w:shd w:val="clear" w:color="auto" w:fill="FFFFFF"/>
        </w:rPr>
        <w:t>HB 1854</w:t>
      </w:r>
      <w:r w:rsidRPr="000B2568">
        <w:rPr>
          <w:rFonts w:cstheme="minorHAnsi"/>
          <w:color w:val="000000" w:themeColor="text1"/>
          <w:sz w:val="22"/>
          <w:szCs w:val="22"/>
          <w:shd w:val="clear" w:color="auto" w:fill="FFFFFF"/>
        </w:rPr>
        <w:t xml:space="preserve"> requires </w:t>
      </w:r>
      <w:r w:rsidRPr="000B2568">
        <w:rPr>
          <w:rFonts w:cstheme="minorHAnsi"/>
          <w:b/>
          <w:bCs/>
          <w:color w:val="000000" w:themeColor="text1"/>
          <w:sz w:val="22"/>
          <w:szCs w:val="22"/>
          <w:shd w:val="clear" w:color="auto" w:fill="FFFFFF"/>
        </w:rPr>
        <w:t>insurance coverage for hearing aid</w:t>
      </w:r>
      <w:r w:rsidRPr="000B2568">
        <w:rPr>
          <w:rFonts w:cstheme="minorHAnsi"/>
          <w:color w:val="000000" w:themeColor="text1"/>
          <w:sz w:val="22"/>
          <w:szCs w:val="22"/>
          <w:shd w:val="clear" w:color="auto" w:fill="FFFFFF"/>
        </w:rPr>
        <w:t xml:space="preserve">s for both children and adults.  </w:t>
      </w:r>
    </w:p>
    <w:p w14:paraId="4EEA0D55" w14:textId="77777777" w:rsidR="00DC7EAD" w:rsidRPr="000B2568" w:rsidRDefault="00DC7EAD" w:rsidP="00DC7EAD">
      <w:pPr>
        <w:pStyle w:val="Heading1"/>
        <w:rPr>
          <w:sz w:val="24"/>
          <w:szCs w:val="28"/>
        </w:rPr>
      </w:pPr>
      <w:r w:rsidRPr="000B2568">
        <w:rPr>
          <w:sz w:val="24"/>
          <w:szCs w:val="28"/>
        </w:rPr>
        <w:t>Upcoming Events</w:t>
      </w:r>
    </w:p>
    <w:p w14:paraId="040E47C8" w14:textId="77777777" w:rsidR="00DC7EAD" w:rsidRDefault="00DC7EAD" w:rsidP="00DC7EAD"/>
    <w:p w14:paraId="32E4653A" w14:textId="77777777" w:rsidR="00DC7EAD" w:rsidRPr="000B2568" w:rsidRDefault="00DC7EAD" w:rsidP="00DC7EAD">
      <w:pPr>
        <w:rPr>
          <w:sz w:val="22"/>
          <w:szCs w:val="22"/>
        </w:rPr>
      </w:pPr>
      <w:r w:rsidRPr="000B2568">
        <w:rPr>
          <w:sz w:val="22"/>
          <w:szCs w:val="22"/>
        </w:rPr>
        <w:t xml:space="preserve">This week, the Senate Health &amp; </w:t>
      </w:r>
      <w:proofErr w:type="gramStart"/>
      <w:r w:rsidRPr="000B2568">
        <w:rPr>
          <w:sz w:val="22"/>
          <w:szCs w:val="22"/>
        </w:rPr>
        <w:t>Long Term</w:t>
      </w:r>
      <w:proofErr w:type="gramEnd"/>
      <w:r w:rsidRPr="000B2568">
        <w:rPr>
          <w:sz w:val="22"/>
          <w:szCs w:val="22"/>
        </w:rPr>
        <w:t xml:space="preserve"> Care Committee is holding two work sessions.  On Wednesday, they will hear a COVID update from the Department of Health.  On Friday, there will be a work session on health and housing.</w:t>
      </w:r>
    </w:p>
    <w:p w14:paraId="7F0C23EE" w14:textId="77777777" w:rsidR="00DC7EAD" w:rsidRDefault="00DC7EAD" w:rsidP="00DC7EAD">
      <w:r>
        <w:rPr>
          <w:noProof/>
        </w:rPr>
        <w:pict w14:anchorId="398841ED">
          <v:rect id="_x0000_i1025" alt="" style="width:468pt;height:.05pt;mso-width-percent:0;mso-height-percent:0;mso-width-percent:0;mso-height-percent:0" o:hralign="center" o:hrstd="t" o:hr="t" fillcolor="#aca899" stroked="f"/>
        </w:pict>
      </w:r>
    </w:p>
    <w:p w14:paraId="0FCB54B4" w14:textId="77777777" w:rsidR="00DC7EAD" w:rsidRDefault="00DC7EAD" w:rsidP="00DC7EAD"/>
    <w:p w14:paraId="067D3EF5" w14:textId="77777777" w:rsidR="00DC7EAD" w:rsidRPr="000B2568" w:rsidRDefault="00DC7EAD" w:rsidP="00DC7EAD">
      <w:pPr>
        <w:pStyle w:val="Heading2"/>
        <w:rPr>
          <w:sz w:val="24"/>
          <w:szCs w:val="24"/>
        </w:rPr>
      </w:pPr>
      <w:r w:rsidRPr="000B2568">
        <w:rPr>
          <w:sz w:val="24"/>
          <w:szCs w:val="24"/>
        </w:rPr>
        <w:t>High Priority Bills</w:t>
      </w:r>
    </w:p>
    <w:tbl>
      <w:tblPr>
        <w:tblStyle w:val="NormalTablePHPDOCX"/>
        <w:tblW w:w="5000" w:type="pct"/>
        <w:tblCellSpacing w:w="30" w:type="dxa"/>
        <w:tblLook w:val="04A0" w:firstRow="1" w:lastRow="0" w:firstColumn="1" w:lastColumn="0" w:noHBand="0" w:noVBand="1"/>
      </w:tblPr>
      <w:tblGrid>
        <w:gridCol w:w="1361"/>
        <w:gridCol w:w="4489"/>
        <w:gridCol w:w="2299"/>
        <w:gridCol w:w="1494"/>
        <w:gridCol w:w="1533"/>
      </w:tblGrid>
      <w:tr w:rsidR="00DC7EAD" w14:paraId="0F225CF1" w14:textId="77777777" w:rsidTr="00EF5D1E">
        <w:trPr>
          <w:tblCellSpacing w:w="30" w:type="dxa"/>
        </w:trPr>
        <w:tc>
          <w:tcPr>
            <w:tcW w:w="0" w:type="auto"/>
            <w:gridSpan w:val="2"/>
            <w:tcMar>
              <w:top w:w="0" w:type="auto"/>
              <w:bottom w:w="0" w:type="auto"/>
            </w:tcMar>
            <w:vAlign w:val="center"/>
          </w:tcPr>
          <w:p w14:paraId="0DE4EE03" w14:textId="77777777" w:rsidR="00DC7EAD" w:rsidRPr="000B2568" w:rsidRDefault="00DC7EAD" w:rsidP="00EF5D1E">
            <w:pPr>
              <w:rPr>
                <w:sz w:val="20"/>
                <w:szCs w:val="20"/>
              </w:rPr>
            </w:pPr>
            <w:r w:rsidRPr="000B2568">
              <w:rPr>
                <w:b/>
                <w:color w:val="000000"/>
                <w:position w:val="-3"/>
                <w:sz w:val="20"/>
                <w:szCs w:val="20"/>
                <w:u w:val="single"/>
              </w:rPr>
              <w:t>Bill Details</w:t>
            </w:r>
          </w:p>
        </w:tc>
        <w:tc>
          <w:tcPr>
            <w:tcW w:w="0" w:type="auto"/>
            <w:tcMar>
              <w:top w:w="0" w:type="auto"/>
              <w:bottom w:w="0" w:type="auto"/>
            </w:tcMar>
            <w:vAlign w:val="center"/>
          </w:tcPr>
          <w:p w14:paraId="228B94A0" w14:textId="77777777" w:rsidR="00DC7EAD" w:rsidRPr="000B2568" w:rsidRDefault="00DC7EAD" w:rsidP="00EF5D1E">
            <w:pPr>
              <w:rPr>
                <w:sz w:val="20"/>
                <w:szCs w:val="20"/>
              </w:rPr>
            </w:pPr>
            <w:r w:rsidRPr="000B2568">
              <w:rPr>
                <w:b/>
                <w:color w:val="000000"/>
                <w:position w:val="-3"/>
                <w:sz w:val="20"/>
                <w:szCs w:val="20"/>
                <w:u w:val="single"/>
              </w:rPr>
              <w:t>Status</w:t>
            </w:r>
          </w:p>
        </w:tc>
        <w:tc>
          <w:tcPr>
            <w:tcW w:w="0" w:type="auto"/>
            <w:tcMar>
              <w:top w:w="0" w:type="auto"/>
              <w:bottom w:w="0" w:type="auto"/>
            </w:tcMar>
            <w:vAlign w:val="center"/>
          </w:tcPr>
          <w:p w14:paraId="5FD1860E" w14:textId="77777777" w:rsidR="00DC7EAD" w:rsidRPr="000B2568" w:rsidRDefault="00DC7EAD" w:rsidP="00EF5D1E">
            <w:pPr>
              <w:rPr>
                <w:sz w:val="20"/>
                <w:szCs w:val="20"/>
              </w:rPr>
            </w:pPr>
            <w:r w:rsidRPr="000B2568">
              <w:rPr>
                <w:b/>
                <w:color w:val="000000"/>
                <w:position w:val="-3"/>
                <w:sz w:val="20"/>
                <w:szCs w:val="20"/>
                <w:u w:val="single"/>
              </w:rPr>
              <w:t>Sponsor</w:t>
            </w:r>
          </w:p>
        </w:tc>
        <w:tc>
          <w:tcPr>
            <w:tcW w:w="0" w:type="auto"/>
            <w:tcMar>
              <w:top w:w="0" w:type="auto"/>
              <w:bottom w:w="0" w:type="auto"/>
            </w:tcMar>
            <w:vAlign w:val="center"/>
          </w:tcPr>
          <w:p w14:paraId="0410AF51" w14:textId="77777777" w:rsidR="00DC7EAD" w:rsidRPr="000B2568" w:rsidRDefault="00DC7EAD" w:rsidP="00EF5D1E">
            <w:pPr>
              <w:rPr>
                <w:sz w:val="20"/>
                <w:szCs w:val="20"/>
              </w:rPr>
            </w:pPr>
            <w:r w:rsidRPr="000B2568">
              <w:rPr>
                <w:b/>
                <w:color w:val="000000"/>
                <w:position w:val="-3"/>
                <w:sz w:val="20"/>
                <w:szCs w:val="20"/>
                <w:u w:val="single"/>
              </w:rPr>
              <w:t>Position</w:t>
            </w:r>
          </w:p>
        </w:tc>
      </w:tr>
      <w:tr w:rsidR="00DC7EAD" w14:paraId="20CCAF2A" w14:textId="77777777" w:rsidTr="00EF5D1E">
        <w:trPr>
          <w:tblCellSpacing w:w="30" w:type="dxa"/>
        </w:trPr>
        <w:tc>
          <w:tcPr>
            <w:tcW w:w="4945" w:type="pct"/>
            <w:gridSpan w:val="5"/>
            <w:tcMar>
              <w:top w:w="0" w:type="auto"/>
              <w:bottom w:w="0" w:type="auto"/>
            </w:tcMar>
            <w:vAlign w:val="center"/>
          </w:tcPr>
          <w:p w14:paraId="34544AF7" w14:textId="77777777" w:rsidR="00DC7EAD" w:rsidRPr="000B2568" w:rsidRDefault="00DC7EAD" w:rsidP="00EF5D1E">
            <w:pPr>
              <w:rPr>
                <w:sz w:val="20"/>
                <w:szCs w:val="20"/>
              </w:rPr>
            </w:pPr>
            <w:r>
              <w:rPr>
                <w:noProof/>
                <w:sz w:val="20"/>
                <w:szCs w:val="20"/>
              </w:rPr>
              <w:pict w14:anchorId="3B55E62F">
                <v:rect id="_x0000_i1026" alt="" style="width:468pt;height:.05pt;mso-width-percent:0;mso-height-percent:0;mso-width-percent:0;mso-height-percent:0" o:hralign="center" o:hrstd="t" o:hr="t" fillcolor="#aca899" stroked="f"/>
              </w:pict>
            </w:r>
          </w:p>
        </w:tc>
      </w:tr>
      <w:tr w:rsidR="00DC7EAD" w14:paraId="4F91FBAD" w14:textId="77777777" w:rsidTr="00EF5D1E">
        <w:trPr>
          <w:tblCellSpacing w:w="30" w:type="dxa"/>
        </w:trPr>
        <w:tc>
          <w:tcPr>
            <w:tcW w:w="581" w:type="pct"/>
            <w:vMerge w:val="restart"/>
            <w:tcMar>
              <w:top w:w="0" w:type="auto"/>
              <w:bottom w:w="0" w:type="auto"/>
            </w:tcMar>
            <w:vAlign w:val="center"/>
          </w:tcPr>
          <w:p w14:paraId="67689208" w14:textId="77777777" w:rsidR="00DC7EAD" w:rsidRPr="000B2568" w:rsidRDefault="00DC7EAD" w:rsidP="00EF5D1E">
            <w:pPr>
              <w:textAlignment w:val="center"/>
              <w:rPr>
                <w:sz w:val="20"/>
                <w:szCs w:val="20"/>
              </w:rPr>
            </w:pPr>
            <w:hyperlink r:id="rId9" w:history="1">
              <w:r w:rsidRPr="000B2568">
                <w:rPr>
                  <w:b/>
                  <w:color w:val="0000CC"/>
                  <w:position w:val="-3"/>
                  <w:sz w:val="20"/>
                  <w:szCs w:val="20"/>
                  <w:u w:val="single"/>
                </w:rPr>
                <w:t>HB 1043</w:t>
              </w:r>
            </w:hyperlink>
          </w:p>
        </w:tc>
        <w:tc>
          <w:tcPr>
            <w:tcW w:w="0" w:type="auto"/>
            <w:tcMar>
              <w:top w:w="0" w:type="auto"/>
              <w:bottom w:w="0" w:type="auto"/>
            </w:tcMar>
            <w:vAlign w:val="center"/>
          </w:tcPr>
          <w:p w14:paraId="31B72A74" w14:textId="77777777" w:rsidR="00DC7EAD" w:rsidRPr="000B2568" w:rsidRDefault="00DC7EAD" w:rsidP="00EF5D1E">
            <w:pPr>
              <w:rPr>
                <w:sz w:val="20"/>
                <w:szCs w:val="20"/>
              </w:rPr>
            </w:pPr>
            <w:r w:rsidRPr="000B2568">
              <w:rPr>
                <w:b/>
                <w:color w:val="000000"/>
                <w:position w:val="-3"/>
                <w:sz w:val="20"/>
                <w:szCs w:val="20"/>
              </w:rPr>
              <w:t>Audiology &amp; speech compact</w:t>
            </w:r>
          </w:p>
        </w:tc>
        <w:tc>
          <w:tcPr>
            <w:tcW w:w="0" w:type="auto"/>
            <w:tcMar>
              <w:top w:w="0" w:type="auto"/>
              <w:bottom w:w="0" w:type="auto"/>
            </w:tcMar>
            <w:vAlign w:val="center"/>
          </w:tcPr>
          <w:p w14:paraId="5AE46D0B" w14:textId="77777777" w:rsidR="00DC7EAD" w:rsidRPr="000B2568" w:rsidRDefault="00DC7EAD" w:rsidP="00EF5D1E">
            <w:pPr>
              <w:rPr>
                <w:sz w:val="20"/>
                <w:szCs w:val="20"/>
              </w:rPr>
            </w:pPr>
            <w:r w:rsidRPr="000B2568">
              <w:rPr>
                <w:color w:val="000000"/>
                <w:position w:val="-3"/>
                <w:sz w:val="20"/>
                <w:szCs w:val="20"/>
              </w:rPr>
              <w:t>H HC/Wellness</w:t>
            </w:r>
          </w:p>
        </w:tc>
        <w:tc>
          <w:tcPr>
            <w:tcW w:w="0" w:type="auto"/>
            <w:tcMar>
              <w:top w:w="0" w:type="auto"/>
              <w:bottom w:w="0" w:type="auto"/>
            </w:tcMar>
            <w:vAlign w:val="center"/>
          </w:tcPr>
          <w:p w14:paraId="08383516" w14:textId="77777777" w:rsidR="00DC7EAD" w:rsidRPr="000B2568" w:rsidRDefault="00DC7EAD" w:rsidP="00EF5D1E">
            <w:pPr>
              <w:rPr>
                <w:sz w:val="20"/>
                <w:szCs w:val="20"/>
              </w:rPr>
            </w:pPr>
            <w:r w:rsidRPr="000B2568">
              <w:rPr>
                <w:color w:val="000000"/>
                <w:position w:val="-3"/>
                <w:sz w:val="20"/>
                <w:szCs w:val="20"/>
              </w:rPr>
              <w:t>Leavitt</w:t>
            </w:r>
          </w:p>
        </w:tc>
        <w:tc>
          <w:tcPr>
            <w:tcW w:w="0" w:type="auto"/>
            <w:tcMar>
              <w:top w:w="0" w:type="auto"/>
              <w:bottom w:w="0" w:type="auto"/>
            </w:tcMar>
            <w:vAlign w:val="center"/>
          </w:tcPr>
          <w:p w14:paraId="6F594AA8" w14:textId="77777777" w:rsidR="00DC7EAD" w:rsidRPr="000B2568" w:rsidRDefault="00DC7EAD" w:rsidP="00EF5D1E">
            <w:pPr>
              <w:rPr>
                <w:sz w:val="20"/>
                <w:szCs w:val="20"/>
              </w:rPr>
            </w:pPr>
            <w:r w:rsidRPr="000B2568">
              <w:rPr>
                <w:color w:val="000000"/>
                <w:position w:val="-3"/>
                <w:sz w:val="20"/>
                <w:szCs w:val="20"/>
              </w:rPr>
              <w:t>Support</w:t>
            </w:r>
          </w:p>
        </w:tc>
      </w:tr>
      <w:tr w:rsidR="00DC7EAD" w14:paraId="5E2176A1" w14:textId="77777777" w:rsidTr="00EF5D1E">
        <w:trPr>
          <w:tblCellSpacing w:w="30" w:type="dxa"/>
        </w:trPr>
        <w:tc>
          <w:tcPr>
            <w:tcW w:w="0" w:type="auto"/>
            <w:vMerge/>
          </w:tcPr>
          <w:p w14:paraId="2E710460" w14:textId="77777777" w:rsidR="00DC7EAD" w:rsidRPr="000B2568" w:rsidRDefault="00DC7EAD" w:rsidP="00EF5D1E">
            <w:pPr>
              <w:rPr>
                <w:sz w:val="20"/>
                <w:szCs w:val="20"/>
              </w:rPr>
            </w:pPr>
          </w:p>
        </w:tc>
        <w:tc>
          <w:tcPr>
            <w:tcW w:w="0" w:type="auto"/>
            <w:gridSpan w:val="4"/>
            <w:tcMar>
              <w:top w:w="0" w:type="auto"/>
              <w:bottom w:w="0" w:type="auto"/>
            </w:tcMar>
            <w:vAlign w:val="center"/>
          </w:tcPr>
          <w:p w14:paraId="40C19943" w14:textId="77777777" w:rsidR="00DC7EAD" w:rsidRPr="000B2568" w:rsidRDefault="00DC7EAD" w:rsidP="00EF5D1E">
            <w:pPr>
              <w:rPr>
                <w:sz w:val="20"/>
                <w:szCs w:val="20"/>
              </w:rPr>
            </w:pPr>
            <w:r w:rsidRPr="000B2568">
              <w:rPr>
                <w:color w:val="000000"/>
                <w:position w:val="-3"/>
                <w:sz w:val="20"/>
                <w:szCs w:val="20"/>
              </w:rPr>
              <w:t>Concerning the audiology and speech-language pathology interstate compact.</w:t>
            </w:r>
          </w:p>
        </w:tc>
      </w:tr>
      <w:tr w:rsidR="00DC7EAD" w14:paraId="1E8B97B6" w14:textId="77777777" w:rsidTr="00EF5D1E">
        <w:trPr>
          <w:tblCellSpacing w:w="30" w:type="dxa"/>
        </w:trPr>
        <w:tc>
          <w:tcPr>
            <w:tcW w:w="4945" w:type="pct"/>
            <w:gridSpan w:val="5"/>
            <w:tcMar>
              <w:top w:w="0" w:type="auto"/>
              <w:bottom w:w="0" w:type="auto"/>
            </w:tcMar>
            <w:vAlign w:val="center"/>
          </w:tcPr>
          <w:p w14:paraId="44D0EFC8" w14:textId="77777777" w:rsidR="00DC7EAD" w:rsidRPr="000B2568" w:rsidRDefault="00DC7EAD" w:rsidP="00EF5D1E">
            <w:pPr>
              <w:rPr>
                <w:sz w:val="20"/>
                <w:szCs w:val="20"/>
              </w:rPr>
            </w:pPr>
            <w:r>
              <w:rPr>
                <w:noProof/>
                <w:sz w:val="20"/>
                <w:szCs w:val="20"/>
              </w:rPr>
              <w:pict w14:anchorId="696C5EAE">
                <v:rect id="_x0000_i1027" alt="" style="width:468pt;height:.05pt;mso-width-percent:0;mso-height-percent:0;mso-width-percent:0;mso-height-percent:0" o:hralign="center" o:hrstd="t" o:hr="t" fillcolor="#aca899" stroked="f"/>
              </w:pict>
            </w:r>
          </w:p>
        </w:tc>
      </w:tr>
      <w:tr w:rsidR="00DC7EAD" w14:paraId="594A956E" w14:textId="77777777" w:rsidTr="00EF5D1E">
        <w:trPr>
          <w:tblCellSpacing w:w="30" w:type="dxa"/>
        </w:trPr>
        <w:tc>
          <w:tcPr>
            <w:tcW w:w="581" w:type="pct"/>
            <w:vMerge w:val="restart"/>
            <w:tcMar>
              <w:top w:w="0" w:type="auto"/>
              <w:bottom w:w="0" w:type="auto"/>
            </w:tcMar>
            <w:vAlign w:val="center"/>
          </w:tcPr>
          <w:p w14:paraId="6C47E29A" w14:textId="77777777" w:rsidR="00DC7EAD" w:rsidRPr="000B2568" w:rsidRDefault="00DC7EAD" w:rsidP="00EF5D1E">
            <w:pPr>
              <w:textAlignment w:val="center"/>
              <w:rPr>
                <w:sz w:val="20"/>
                <w:szCs w:val="20"/>
              </w:rPr>
            </w:pPr>
            <w:hyperlink r:id="rId10" w:history="1">
              <w:r w:rsidRPr="000B2568">
                <w:rPr>
                  <w:b/>
                  <w:color w:val="0000CC"/>
                  <w:position w:val="-3"/>
                  <w:sz w:val="20"/>
                  <w:szCs w:val="20"/>
                  <w:u w:val="single"/>
                </w:rPr>
                <w:t>HB 1854</w:t>
              </w:r>
            </w:hyperlink>
          </w:p>
        </w:tc>
        <w:tc>
          <w:tcPr>
            <w:tcW w:w="0" w:type="auto"/>
            <w:tcMar>
              <w:top w:w="0" w:type="auto"/>
              <w:bottom w:w="0" w:type="auto"/>
            </w:tcMar>
            <w:vAlign w:val="center"/>
          </w:tcPr>
          <w:p w14:paraId="1CCD24B6" w14:textId="77777777" w:rsidR="00DC7EAD" w:rsidRPr="000B2568" w:rsidRDefault="00DC7EAD" w:rsidP="00EF5D1E">
            <w:pPr>
              <w:rPr>
                <w:sz w:val="20"/>
                <w:szCs w:val="20"/>
              </w:rPr>
            </w:pPr>
            <w:r w:rsidRPr="000B2568">
              <w:rPr>
                <w:b/>
                <w:color w:val="000000"/>
                <w:position w:val="-3"/>
                <w:sz w:val="20"/>
                <w:szCs w:val="20"/>
              </w:rPr>
              <w:t>Hearing instruments coverage</w:t>
            </w:r>
          </w:p>
        </w:tc>
        <w:tc>
          <w:tcPr>
            <w:tcW w:w="0" w:type="auto"/>
            <w:tcMar>
              <w:top w:w="0" w:type="auto"/>
              <w:bottom w:w="0" w:type="auto"/>
            </w:tcMar>
            <w:vAlign w:val="center"/>
          </w:tcPr>
          <w:p w14:paraId="050609DA" w14:textId="77777777" w:rsidR="00DC7EAD" w:rsidRPr="000B2568" w:rsidRDefault="00DC7EAD" w:rsidP="00EF5D1E">
            <w:pPr>
              <w:rPr>
                <w:sz w:val="20"/>
                <w:szCs w:val="20"/>
              </w:rPr>
            </w:pPr>
            <w:r w:rsidRPr="000B2568">
              <w:rPr>
                <w:color w:val="000000"/>
                <w:position w:val="-3"/>
                <w:sz w:val="20"/>
                <w:szCs w:val="20"/>
              </w:rPr>
              <w:t xml:space="preserve">H </w:t>
            </w:r>
            <w:proofErr w:type="spellStart"/>
            <w:r w:rsidRPr="000B2568">
              <w:rPr>
                <w:color w:val="000000"/>
                <w:position w:val="-3"/>
                <w:sz w:val="20"/>
                <w:szCs w:val="20"/>
              </w:rPr>
              <w:t>Prefiled</w:t>
            </w:r>
            <w:proofErr w:type="spellEnd"/>
          </w:p>
        </w:tc>
        <w:tc>
          <w:tcPr>
            <w:tcW w:w="0" w:type="auto"/>
            <w:tcMar>
              <w:top w:w="0" w:type="auto"/>
              <w:bottom w:w="0" w:type="auto"/>
            </w:tcMar>
            <w:vAlign w:val="center"/>
          </w:tcPr>
          <w:p w14:paraId="53B4985B" w14:textId="77777777" w:rsidR="00DC7EAD" w:rsidRPr="000B2568" w:rsidRDefault="00DC7EAD" w:rsidP="00EF5D1E">
            <w:pPr>
              <w:rPr>
                <w:sz w:val="20"/>
                <w:szCs w:val="20"/>
              </w:rPr>
            </w:pPr>
            <w:r w:rsidRPr="000B2568">
              <w:rPr>
                <w:color w:val="000000"/>
                <w:position w:val="-3"/>
                <w:sz w:val="20"/>
                <w:szCs w:val="20"/>
              </w:rPr>
              <w:t>Wicks</w:t>
            </w:r>
          </w:p>
        </w:tc>
        <w:tc>
          <w:tcPr>
            <w:tcW w:w="0" w:type="auto"/>
            <w:tcMar>
              <w:top w:w="0" w:type="auto"/>
              <w:bottom w:w="0" w:type="auto"/>
            </w:tcMar>
            <w:vAlign w:val="center"/>
          </w:tcPr>
          <w:p w14:paraId="5245C2AF" w14:textId="77777777" w:rsidR="00DC7EAD" w:rsidRPr="000B2568" w:rsidRDefault="00DC7EAD" w:rsidP="00EF5D1E">
            <w:pPr>
              <w:rPr>
                <w:sz w:val="20"/>
                <w:szCs w:val="20"/>
              </w:rPr>
            </w:pPr>
            <w:r w:rsidRPr="000B2568">
              <w:rPr>
                <w:color w:val="000000"/>
                <w:position w:val="-3"/>
                <w:sz w:val="20"/>
                <w:szCs w:val="20"/>
              </w:rPr>
              <w:t>Support</w:t>
            </w:r>
          </w:p>
        </w:tc>
      </w:tr>
      <w:tr w:rsidR="00DC7EAD" w14:paraId="3A60545E" w14:textId="77777777" w:rsidTr="00EF5D1E">
        <w:trPr>
          <w:tblCellSpacing w:w="30" w:type="dxa"/>
        </w:trPr>
        <w:tc>
          <w:tcPr>
            <w:tcW w:w="0" w:type="auto"/>
            <w:vMerge/>
          </w:tcPr>
          <w:p w14:paraId="1D537F58" w14:textId="77777777" w:rsidR="00DC7EAD" w:rsidRPr="000B2568" w:rsidRDefault="00DC7EAD" w:rsidP="00EF5D1E">
            <w:pPr>
              <w:rPr>
                <w:sz w:val="20"/>
                <w:szCs w:val="20"/>
              </w:rPr>
            </w:pPr>
          </w:p>
        </w:tc>
        <w:tc>
          <w:tcPr>
            <w:tcW w:w="0" w:type="auto"/>
            <w:gridSpan w:val="4"/>
            <w:tcMar>
              <w:top w:w="0" w:type="auto"/>
              <w:bottom w:w="0" w:type="auto"/>
            </w:tcMar>
            <w:vAlign w:val="center"/>
          </w:tcPr>
          <w:p w14:paraId="27491967" w14:textId="77777777" w:rsidR="00DC7EAD" w:rsidRPr="000B2568" w:rsidRDefault="00DC7EAD" w:rsidP="00EF5D1E">
            <w:pPr>
              <w:rPr>
                <w:sz w:val="20"/>
                <w:szCs w:val="20"/>
              </w:rPr>
            </w:pPr>
            <w:r w:rsidRPr="000B2568">
              <w:rPr>
                <w:color w:val="000000"/>
                <w:position w:val="-3"/>
                <w:sz w:val="20"/>
                <w:szCs w:val="20"/>
              </w:rPr>
              <w:t>Requiring coverage for hearing instruments.</w:t>
            </w:r>
          </w:p>
        </w:tc>
      </w:tr>
    </w:tbl>
    <w:p w14:paraId="1C916CB9" w14:textId="77777777" w:rsidR="00DC7EAD" w:rsidRDefault="00DC7EAD" w:rsidP="00DC7EAD">
      <w:pPr>
        <w:pStyle w:val="Heading2"/>
        <w:jc w:val="left"/>
      </w:pPr>
    </w:p>
    <w:p w14:paraId="39DDBCA9" w14:textId="77777777" w:rsidR="00066241" w:rsidRDefault="00066241"/>
    <w:sectPr w:rsidR="00066241" w:rsidSect="002A7CED">
      <w:footerReference w:type="default" r:id="rId11"/>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2DAA" w14:textId="77777777" w:rsidR="00EF2761" w:rsidRDefault="00EF2761">
      <w:r>
        <w:separator/>
      </w:r>
    </w:p>
  </w:endnote>
  <w:endnote w:type="continuationSeparator" w:id="0">
    <w:p w14:paraId="026610BA" w14:textId="77777777" w:rsidR="00EF2761" w:rsidRDefault="00EF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BCB" w14:textId="77777777" w:rsidR="00585087" w:rsidRDefault="00066241">
    <w:pPr>
      <w:spacing w:before="240" w:after="240"/>
    </w:pPr>
    <w:r>
      <w:rPr>
        <w:color w:val="000000"/>
      </w:rPr>
      <w:t>Detail Report</w:t>
    </w:r>
    <w:r>
      <w:rPr>
        <w:color w:val="000000"/>
      </w:rPr>
      <w:br/>
      <w:t>January 6, 2022</w:t>
    </w:r>
    <w:r>
      <w:rPr>
        <w:color w:val="000000"/>
      </w:rPr>
      <w:br/>
      <w:t xml:space="preserve">Page </w:t>
    </w:r>
    <w:r w:rsidR="009A3634">
      <w:fldChar w:fldCharType="begin"/>
    </w:r>
    <w:r>
      <w:instrText>PAGE</w:instrText>
    </w:r>
    <w:r w:rsidR="009A3634">
      <w:fldChar w:fldCharType="separate"/>
    </w:r>
    <w:r w:rsidR="00886C79">
      <w:rPr>
        <w:noProof/>
      </w:rPr>
      <w:t>1</w:t>
    </w:r>
    <w:r w:rsidR="009A3634">
      <w:fldChar w:fldCharType="end"/>
    </w:r>
    <w:r>
      <w:rPr>
        <w:color w:val="000000"/>
      </w:rPr>
      <w:t xml:space="preserve"> of </w:t>
    </w:r>
    <w:r w:rsidR="009A3634">
      <w:fldChar w:fldCharType="begin"/>
    </w:r>
    <w:r>
      <w:instrText>NUMPAGES</w:instrText>
    </w:r>
    <w:r w:rsidR="009A3634">
      <w:fldChar w:fldCharType="separate"/>
    </w:r>
    <w:r w:rsidR="00886C79">
      <w:rPr>
        <w:noProof/>
      </w:rPr>
      <w:t>2</w:t>
    </w:r>
    <w:r w:rsidR="009A36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3CA" w14:textId="77777777" w:rsidR="00EF2761" w:rsidRDefault="00EF2761">
      <w:r>
        <w:separator/>
      </w:r>
    </w:p>
  </w:footnote>
  <w:footnote w:type="continuationSeparator" w:id="0">
    <w:p w14:paraId="1A8B2366" w14:textId="77777777" w:rsidR="00EF2761" w:rsidRDefault="00EF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1FE"/>
    <w:multiLevelType w:val="multilevel"/>
    <w:tmpl w:val="C02C05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70D07FB"/>
    <w:multiLevelType w:val="hybridMultilevel"/>
    <w:tmpl w:val="B1FEEF0E"/>
    <w:lvl w:ilvl="0" w:tplc="92636801">
      <w:start w:val="1"/>
      <w:numFmt w:val="decimal"/>
      <w:lvlText w:val="%1."/>
      <w:lvlJc w:val="left"/>
      <w:pPr>
        <w:ind w:left="720" w:hanging="360"/>
      </w:pPr>
    </w:lvl>
    <w:lvl w:ilvl="1" w:tplc="92636801" w:tentative="1">
      <w:start w:val="1"/>
      <w:numFmt w:val="lowerLetter"/>
      <w:lvlText w:val="%2."/>
      <w:lvlJc w:val="left"/>
      <w:pPr>
        <w:ind w:left="1440" w:hanging="360"/>
      </w:pPr>
    </w:lvl>
    <w:lvl w:ilvl="2" w:tplc="92636801" w:tentative="1">
      <w:start w:val="1"/>
      <w:numFmt w:val="lowerRoman"/>
      <w:lvlText w:val="%3."/>
      <w:lvlJc w:val="right"/>
      <w:pPr>
        <w:ind w:left="2160" w:hanging="180"/>
      </w:pPr>
    </w:lvl>
    <w:lvl w:ilvl="3" w:tplc="92636801" w:tentative="1">
      <w:start w:val="1"/>
      <w:numFmt w:val="decimal"/>
      <w:lvlText w:val="%4."/>
      <w:lvlJc w:val="left"/>
      <w:pPr>
        <w:ind w:left="2880" w:hanging="360"/>
      </w:pPr>
    </w:lvl>
    <w:lvl w:ilvl="4" w:tplc="92636801" w:tentative="1">
      <w:start w:val="1"/>
      <w:numFmt w:val="lowerLetter"/>
      <w:lvlText w:val="%5."/>
      <w:lvlJc w:val="left"/>
      <w:pPr>
        <w:ind w:left="3600" w:hanging="360"/>
      </w:pPr>
    </w:lvl>
    <w:lvl w:ilvl="5" w:tplc="92636801" w:tentative="1">
      <w:start w:val="1"/>
      <w:numFmt w:val="lowerRoman"/>
      <w:lvlText w:val="%6."/>
      <w:lvlJc w:val="right"/>
      <w:pPr>
        <w:ind w:left="4320" w:hanging="180"/>
      </w:pPr>
    </w:lvl>
    <w:lvl w:ilvl="6" w:tplc="92636801" w:tentative="1">
      <w:start w:val="1"/>
      <w:numFmt w:val="decimal"/>
      <w:lvlText w:val="%7."/>
      <w:lvlJc w:val="left"/>
      <w:pPr>
        <w:ind w:left="5040" w:hanging="360"/>
      </w:pPr>
    </w:lvl>
    <w:lvl w:ilvl="7" w:tplc="92636801" w:tentative="1">
      <w:start w:val="1"/>
      <w:numFmt w:val="lowerLetter"/>
      <w:lvlText w:val="%8."/>
      <w:lvlJc w:val="left"/>
      <w:pPr>
        <w:ind w:left="5760" w:hanging="360"/>
      </w:pPr>
    </w:lvl>
    <w:lvl w:ilvl="8" w:tplc="92636801"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F3207"/>
    <w:multiLevelType w:val="hybridMultilevel"/>
    <w:tmpl w:val="DAC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814C5"/>
    <w:multiLevelType w:val="multilevel"/>
    <w:tmpl w:val="7F3A333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734050"/>
    <w:multiLevelType w:val="hybridMultilevel"/>
    <w:tmpl w:val="0E3A2E32"/>
    <w:lvl w:ilvl="0" w:tplc="80137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11"/>
  </w:num>
  <w:num w:numId="9">
    <w:abstractNumId w:val="3"/>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7CED"/>
    <w:rsid w:val="00066241"/>
    <w:rsid w:val="00080127"/>
    <w:rsid w:val="00190762"/>
    <w:rsid w:val="00253FC7"/>
    <w:rsid w:val="002A7CED"/>
    <w:rsid w:val="00332050"/>
    <w:rsid w:val="00403577"/>
    <w:rsid w:val="00576865"/>
    <w:rsid w:val="00585087"/>
    <w:rsid w:val="00624664"/>
    <w:rsid w:val="006E2870"/>
    <w:rsid w:val="007C4D0A"/>
    <w:rsid w:val="00843371"/>
    <w:rsid w:val="00886C79"/>
    <w:rsid w:val="009A3634"/>
    <w:rsid w:val="00A93BCE"/>
    <w:rsid w:val="00AC30E5"/>
    <w:rsid w:val="00D916BB"/>
    <w:rsid w:val="00DC7EAD"/>
    <w:rsid w:val="00EF2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7E30B0"/>
  <w15:docId w15:val="{8113458C-A782-4DF9-98E3-781BB88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34"/>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9A3634"/>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rsid w:val="009A3634"/>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6865"/>
    <w:pPr>
      <w:ind w:left="720"/>
      <w:contextualSpacing/>
    </w:pPr>
  </w:style>
  <w:style w:type="character" w:styleId="Hyperlink">
    <w:name w:val="Hyperlink"/>
    <w:basedOn w:val="DefaultParagraphFont"/>
    <w:uiPriority w:val="99"/>
    <w:unhideWhenUsed/>
    <w:rsid w:val="00DC7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v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p.leg.wa.gov/billsummary?Year=2021&amp;BillNumber=1854" TargetMode="External"/><Relationship Id="rId4" Type="http://schemas.openxmlformats.org/officeDocument/2006/relationships/webSettings" Target="webSettings.xml"/><Relationship Id="rId9" Type="http://schemas.openxmlformats.org/officeDocument/2006/relationships/hyperlink" Target="http://app.leg.wa.gov/billsummary?Year=2021&amp;BillNumber=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Felicia Chang</cp:lastModifiedBy>
  <cp:revision>3</cp:revision>
  <dcterms:created xsi:type="dcterms:W3CDTF">2022-01-16T23:49:00Z</dcterms:created>
  <dcterms:modified xsi:type="dcterms:W3CDTF">2022-01-18T21:13:00Z</dcterms:modified>
  <cp:category/>
</cp:coreProperties>
</file>