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1E1" w:rsidRDefault="00F611E1" w:rsidP="00F611E1">
      <w:pPr>
        <w:pStyle w:val="Title"/>
      </w:pPr>
      <w:r>
        <w:t>Capitol News</w:t>
      </w:r>
    </w:p>
    <w:p w:rsidR="00F611E1" w:rsidRDefault="00F611E1" w:rsidP="00F611E1">
      <w:pPr>
        <w:pStyle w:val="Title"/>
      </w:pPr>
      <w:r>
        <w:t>January 1</w:t>
      </w:r>
      <w:r w:rsidR="00C4144B">
        <w:t>6</w:t>
      </w:r>
      <w:r>
        <w:t xml:space="preserve">, 2021 </w:t>
      </w:r>
    </w:p>
    <w:p w:rsidR="00F611E1" w:rsidRDefault="00F611E1" w:rsidP="00F611E1">
      <w:pPr>
        <w:pStyle w:val="Title"/>
      </w:pPr>
      <w:r>
        <w:t>Melissa Johnson, WSLHA Lobbyist</w:t>
      </w:r>
    </w:p>
    <w:p w:rsidR="00C4144B" w:rsidRPr="00C22F2F" w:rsidRDefault="00C4144B" w:rsidP="00C4144B">
      <w:pPr>
        <w:jc w:val="center"/>
        <w:rPr>
          <w:rFonts w:ascii="Cambria" w:hAnsi="Cambria"/>
          <w:b/>
          <w:bCs/>
          <w:sz w:val="28"/>
          <w:szCs w:val="28"/>
          <w:u w:val="single"/>
        </w:rPr>
      </w:pPr>
      <w:r w:rsidRPr="00C22F2F">
        <w:rPr>
          <w:rFonts w:ascii="Cambria" w:hAnsi="Cambria"/>
          <w:b/>
          <w:bCs/>
          <w:sz w:val="28"/>
          <w:szCs w:val="28"/>
          <w:u w:val="single"/>
        </w:rPr>
        <w:t xml:space="preserve">Last </w:t>
      </w:r>
      <w:r w:rsidR="00C22F2F">
        <w:rPr>
          <w:rFonts w:ascii="Cambria" w:hAnsi="Cambria"/>
          <w:b/>
          <w:bCs/>
          <w:sz w:val="28"/>
          <w:szCs w:val="28"/>
          <w:u w:val="single"/>
        </w:rPr>
        <w:t>W</w:t>
      </w:r>
      <w:r w:rsidRPr="00C22F2F">
        <w:rPr>
          <w:rFonts w:ascii="Cambria" w:hAnsi="Cambria"/>
          <w:b/>
          <w:bCs/>
          <w:sz w:val="28"/>
          <w:szCs w:val="28"/>
          <w:u w:val="single"/>
        </w:rPr>
        <w:t xml:space="preserve">eek’s </w:t>
      </w:r>
      <w:r w:rsidR="00C22F2F">
        <w:rPr>
          <w:rFonts w:ascii="Cambria" w:hAnsi="Cambria"/>
          <w:b/>
          <w:bCs/>
          <w:sz w:val="28"/>
          <w:szCs w:val="28"/>
          <w:u w:val="single"/>
        </w:rPr>
        <w:t>H</w:t>
      </w:r>
      <w:r w:rsidRPr="00C22F2F">
        <w:rPr>
          <w:rFonts w:ascii="Cambria" w:hAnsi="Cambria"/>
          <w:b/>
          <w:bCs/>
          <w:sz w:val="28"/>
          <w:szCs w:val="28"/>
          <w:u w:val="single"/>
        </w:rPr>
        <w:t>ighlights</w:t>
      </w:r>
    </w:p>
    <w:p w:rsidR="00C4144B" w:rsidRPr="00C22F2F" w:rsidRDefault="00C4144B" w:rsidP="00C4144B">
      <w:pPr>
        <w:jc w:val="center"/>
        <w:rPr>
          <w:rFonts w:ascii="Cambria" w:hAnsi="Cambria"/>
          <w:b/>
          <w:bCs/>
          <w:sz w:val="28"/>
          <w:szCs w:val="28"/>
        </w:rPr>
      </w:pPr>
    </w:p>
    <w:p w:rsidR="00C4144B" w:rsidRPr="00C22F2F" w:rsidRDefault="00C4144B" w:rsidP="00C4144B">
      <w:pPr>
        <w:pStyle w:val="Heading1"/>
        <w:spacing w:before="0"/>
        <w:jc w:val="left"/>
        <w:rPr>
          <w:b w:val="0"/>
          <w:bCs w:val="0"/>
          <w:color w:val="000000" w:themeColor="text1"/>
          <w:sz w:val="24"/>
          <w:szCs w:val="24"/>
        </w:rPr>
      </w:pPr>
      <w:r w:rsidRPr="00C22F2F">
        <w:rPr>
          <w:b w:val="0"/>
          <w:bCs w:val="0"/>
          <w:color w:val="000000" w:themeColor="text1"/>
          <w:sz w:val="24"/>
          <w:szCs w:val="24"/>
        </w:rPr>
        <w:t xml:space="preserve">Last week, the legislative session opened with heightened security measures to ensure the safety of legislators as they convened for their first and only in-person meeting of the session.  </w:t>
      </w:r>
      <w:r w:rsidRPr="00C22F2F">
        <w:rPr>
          <w:color w:val="000000" w:themeColor="text1"/>
          <w:sz w:val="24"/>
          <w:szCs w:val="24"/>
        </w:rPr>
        <w:t xml:space="preserve">The House and Senate passed rules to allow lawmakers to convene remotely and to allow committee hearings to take testimony via Zoom.  </w:t>
      </w:r>
      <w:r w:rsidRPr="00C22F2F">
        <w:rPr>
          <w:b w:val="0"/>
          <w:bCs w:val="0"/>
          <w:color w:val="000000" w:themeColor="text1"/>
          <w:sz w:val="24"/>
          <w:szCs w:val="24"/>
        </w:rPr>
        <w:t>With hearings on the Governor’s budgets last week, with over one hundred testifiers per hearing, committee staff are the unsung heroes, as they worked extremely hard to ensure all committee hearings went smoothly.</w:t>
      </w:r>
    </w:p>
    <w:p w:rsidR="00C4144B" w:rsidRPr="00C22F2F" w:rsidRDefault="00C4144B" w:rsidP="00C4144B">
      <w:pPr>
        <w:rPr>
          <w:rFonts w:ascii="Cambria" w:hAnsi="Cambria"/>
        </w:rPr>
      </w:pPr>
    </w:p>
    <w:p w:rsidR="00C4144B" w:rsidRPr="00C22F2F" w:rsidRDefault="00C4144B" w:rsidP="00C4144B">
      <w:pPr>
        <w:rPr>
          <w:rFonts w:ascii="Cambria" w:hAnsi="Cambria"/>
        </w:rPr>
      </w:pPr>
      <w:r w:rsidRPr="00C22F2F">
        <w:rPr>
          <w:rFonts w:ascii="Cambria" w:hAnsi="Cambria"/>
        </w:rPr>
        <w:t>WSLHA’s Audiology-Speech-Language Pathology</w:t>
      </w:r>
      <w:r w:rsidRPr="00C22F2F">
        <w:rPr>
          <w:rFonts w:ascii="Cambria" w:hAnsi="Cambria"/>
          <w:b/>
          <w:bCs/>
        </w:rPr>
        <w:t xml:space="preserve"> interstate compact bill has a bill number, HB 1043! </w:t>
      </w:r>
      <w:r w:rsidRPr="00C22F2F">
        <w:rPr>
          <w:rFonts w:ascii="Cambria" w:hAnsi="Cambria"/>
        </w:rPr>
        <w:t>Rep. Mari Leavitt and Rep. Skyler Rude are the primary sponsors, with 12 additional legislators signed on as co sponsors:  Reps. Dufault, Kloba, Ryu, Ortiz-Self, Dolan, Wylie, Harris, Simmons, Goodman, Bronoske, Kirby, and MacEwen.  WSLHA is now working to get the bill a hearing.</w:t>
      </w:r>
    </w:p>
    <w:p w:rsidR="00C4144B" w:rsidRPr="00C22F2F" w:rsidRDefault="00C4144B" w:rsidP="00C4144B">
      <w:pPr>
        <w:rPr>
          <w:rFonts w:ascii="Cambria" w:hAnsi="Cambria"/>
        </w:rPr>
      </w:pPr>
    </w:p>
    <w:p w:rsidR="00C4144B" w:rsidRPr="00C22F2F" w:rsidRDefault="00C4144B" w:rsidP="00C4144B">
      <w:pPr>
        <w:rPr>
          <w:rFonts w:ascii="Cambria" w:eastAsia="Times New Roman" w:hAnsi="Cambria" w:cs="Times New Roman"/>
        </w:rPr>
      </w:pPr>
      <w:r w:rsidRPr="00C22F2F">
        <w:rPr>
          <w:rFonts w:ascii="Cambria" w:hAnsi="Cambria"/>
        </w:rPr>
        <w:t xml:space="preserve">The bipartisan </w:t>
      </w:r>
      <w:r w:rsidRPr="00C22F2F">
        <w:rPr>
          <w:rFonts w:ascii="Cambria" w:hAnsi="Cambria"/>
          <w:b/>
          <w:bCs/>
        </w:rPr>
        <w:t xml:space="preserve">Senate </w:t>
      </w:r>
      <w:r w:rsidRPr="00C22F2F">
        <w:rPr>
          <w:rFonts w:ascii="Cambria" w:hAnsi="Cambria" w:cs="Calibri"/>
          <w:b/>
          <w:bCs/>
          <w:color w:val="000000"/>
        </w:rPr>
        <w:t>Special Committee on Economic Recovery</w:t>
      </w:r>
      <w:r w:rsidRPr="00C22F2F">
        <w:rPr>
          <w:rFonts w:ascii="Cambria" w:hAnsi="Cambria" w:cs="Calibri"/>
          <w:color w:val="000000"/>
        </w:rPr>
        <w:t xml:space="preserve"> released its final report last week.  This committee was established last May </w:t>
      </w:r>
      <w:r w:rsidRPr="00C22F2F">
        <w:rPr>
          <w:rFonts w:ascii="Cambria" w:eastAsia="Times New Roman" w:hAnsi="Cambria" w:cs="Times New Roman"/>
        </w:rPr>
        <w:t xml:space="preserve">to analyze how the pandemic-related closures have affected our regional economies and how to help businesses recover.  </w:t>
      </w:r>
      <w:r w:rsidRPr="00C22F2F">
        <w:rPr>
          <w:rFonts w:ascii="Cambria" w:hAnsi="Cambria" w:cs="Calibri"/>
          <w:color w:val="000000"/>
        </w:rPr>
        <w:t>Health care recommendations include telehealth reimbursement parity; improving Cascade Care; public health investments; addressing health inequities; and continuity of insurance coverage regardless of employment status.</w:t>
      </w:r>
      <w:r w:rsidRPr="00C22F2F">
        <w:rPr>
          <w:rFonts w:ascii="Cambria" w:eastAsia="Times New Roman" w:hAnsi="Cambria" w:cs="Times New Roman"/>
        </w:rPr>
        <w:t xml:space="preserve">  </w:t>
      </w:r>
      <w:r w:rsidRPr="00C22F2F">
        <w:rPr>
          <w:rFonts w:ascii="Cambria" w:hAnsi="Cambria" w:cs="Arial"/>
          <w:color w:val="333333"/>
          <w:shd w:val="clear" w:color="auto" w:fill="FFFFFF"/>
        </w:rPr>
        <w:t>The full report is available</w:t>
      </w:r>
      <w:r w:rsidRPr="00C22F2F">
        <w:rPr>
          <w:rStyle w:val="apple-converted-space"/>
          <w:rFonts w:ascii="Cambria" w:hAnsi="Cambria" w:cs="Arial"/>
          <w:color w:val="333333"/>
          <w:shd w:val="clear" w:color="auto" w:fill="FFFFFF"/>
        </w:rPr>
        <w:t> </w:t>
      </w:r>
      <w:hyperlink r:id="rId4" w:history="1">
        <w:r w:rsidRPr="00C22F2F">
          <w:rPr>
            <w:rStyle w:val="Hyperlink"/>
            <w:rFonts w:ascii="Cambria" w:hAnsi="Cambria" w:cs="Arial"/>
            <w:color w:val="1E5799"/>
          </w:rPr>
          <w:t>here</w:t>
        </w:r>
      </w:hyperlink>
      <w:r w:rsidRPr="00C22F2F">
        <w:rPr>
          <w:rFonts w:ascii="Cambria" w:hAnsi="Cambria" w:cs="Arial"/>
          <w:color w:val="333333"/>
          <w:shd w:val="clear" w:color="auto" w:fill="FFFFFF"/>
        </w:rPr>
        <w:t>, with the</w:t>
      </w:r>
      <w:r w:rsidRPr="00C22F2F">
        <w:rPr>
          <w:rStyle w:val="apple-converted-space"/>
          <w:rFonts w:ascii="Cambria" w:hAnsi="Cambria" w:cs="Arial"/>
          <w:color w:val="333333"/>
          <w:shd w:val="clear" w:color="auto" w:fill="FFFFFF"/>
        </w:rPr>
        <w:t> </w:t>
      </w:r>
      <w:hyperlink r:id="rId5" w:tooltip="https://lnks.gd/l/eyJhbGciOiJIUzI1NiJ9.eyJidWxsZXRpbl9saW5rX2lkIjoxMDIsInVyaSI6ImJwMjpjbGljayIsImJ1bGxldGluX2lkIjoiMjAyMTAxMTQuMzMzMDk2NzEiLCJ1cmwiOiJodHRwczovL3NlbmF0ZWRlbW9jcmF0cy53YS5nb3YvZnJvY2t0L3dwLWNvbnRlbnQvdXBsb2Fkcy9zaXRlcy8xNC8yMDIxLzAxL1NDRVIt" w:history="1">
        <w:r w:rsidRPr="00C22F2F">
          <w:rPr>
            <w:rStyle w:val="Hyperlink"/>
            <w:rFonts w:ascii="Cambria" w:hAnsi="Cambria" w:cs="Arial"/>
            <w:color w:val="1E5799"/>
          </w:rPr>
          <w:t>meeting agendas</w:t>
        </w:r>
      </w:hyperlink>
      <w:r w:rsidRPr="00C22F2F">
        <w:rPr>
          <w:rStyle w:val="apple-converted-space"/>
          <w:rFonts w:ascii="Cambria" w:hAnsi="Cambria" w:cs="Arial"/>
          <w:color w:val="333333"/>
          <w:shd w:val="clear" w:color="auto" w:fill="FFFFFF"/>
        </w:rPr>
        <w:t> </w:t>
      </w:r>
      <w:r w:rsidRPr="00C22F2F">
        <w:rPr>
          <w:rFonts w:ascii="Cambria" w:hAnsi="Cambria" w:cs="Arial"/>
          <w:color w:val="333333"/>
          <w:shd w:val="clear" w:color="auto" w:fill="FFFFFF"/>
        </w:rPr>
        <w:t>and</w:t>
      </w:r>
      <w:r w:rsidRPr="00C22F2F">
        <w:rPr>
          <w:rStyle w:val="apple-converted-space"/>
          <w:rFonts w:ascii="Cambria" w:hAnsi="Cambria" w:cs="Arial"/>
          <w:color w:val="333333"/>
          <w:shd w:val="clear" w:color="auto" w:fill="FFFFFF"/>
        </w:rPr>
        <w:t> </w:t>
      </w:r>
      <w:hyperlink r:id="rId6" w:history="1">
        <w:r w:rsidRPr="00C22F2F">
          <w:rPr>
            <w:rStyle w:val="Hyperlink"/>
            <w:rFonts w:ascii="Cambria" w:hAnsi="Cambria" w:cs="Arial"/>
            <w:color w:val="1E5799"/>
          </w:rPr>
          <w:t>presentation materials</w:t>
        </w:r>
      </w:hyperlink>
      <w:r w:rsidRPr="00C22F2F">
        <w:rPr>
          <w:rStyle w:val="apple-converted-space"/>
          <w:rFonts w:ascii="Cambria" w:hAnsi="Cambria" w:cs="Arial"/>
          <w:color w:val="333333"/>
          <w:shd w:val="clear" w:color="auto" w:fill="FFFFFF"/>
        </w:rPr>
        <w:t> </w:t>
      </w:r>
      <w:r w:rsidRPr="00C22F2F">
        <w:rPr>
          <w:rFonts w:ascii="Cambria" w:hAnsi="Cambria" w:cs="Arial"/>
          <w:color w:val="333333"/>
          <w:shd w:val="clear" w:color="auto" w:fill="FFFFFF"/>
        </w:rPr>
        <w:t>available as appendices.</w:t>
      </w:r>
    </w:p>
    <w:p w:rsidR="00C4144B" w:rsidRPr="00C22F2F" w:rsidRDefault="00C4144B" w:rsidP="00C4144B">
      <w:pPr>
        <w:rPr>
          <w:rFonts w:ascii="Cambria" w:hAnsi="Cambria"/>
        </w:rPr>
      </w:pPr>
    </w:p>
    <w:p w:rsidR="00C4144B" w:rsidRPr="00C22F2F" w:rsidRDefault="00C22F2F" w:rsidP="00C4144B">
      <w:pPr>
        <w:jc w:val="center"/>
        <w:rPr>
          <w:rFonts w:ascii="Cambria" w:hAnsi="Cambria"/>
          <w:b/>
          <w:bCs/>
          <w:sz w:val="28"/>
          <w:szCs w:val="28"/>
          <w:u w:val="single"/>
        </w:rPr>
      </w:pPr>
      <w:r>
        <w:rPr>
          <w:rFonts w:ascii="Cambria" w:hAnsi="Cambria"/>
          <w:b/>
          <w:bCs/>
          <w:sz w:val="28"/>
          <w:szCs w:val="28"/>
          <w:u w:val="single"/>
        </w:rPr>
        <w:t>Upcoming Events</w:t>
      </w:r>
    </w:p>
    <w:p w:rsidR="00C4144B" w:rsidRPr="00C22F2F" w:rsidRDefault="00C4144B" w:rsidP="00C4144B">
      <w:pPr>
        <w:jc w:val="center"/>
        <w:rPr>
          <w:rFonts w:ascii="Cambria" w:hAnsi="Cambria"/>
          <w:b/>
          <w:bCs/>
          <w:sz w:val="28"/>
          <w:szCs w:val="28"/>
        </w:rPr>
      </w:pPr>
    </w:p>
    <w:p w:rsidR="00C4144B" w:rsidRPr="00C22F2F" w:rsidRDefault="00C4144B" w:rsidP="00C4144B">
      <w:pPr>
        <w:rPr>
          <w:rFonts w:ascii="Cambria" w:hAnsi="Cambria"/>
        </w:rPr>
      </w:pPr>
      <w:r w:rsidRPr="00C22F2F">
        <w:rPr>
          <w:rFonts w:ascii="Cambria" w:hAnsi="Cambria"/>
        </w:rPr>
        <w:t xml:space="preserve">On Monday at 9am, the Senate Labor, Commerce &amp; Tribal Affairs Committee will hear </w:t>
      </w:r>
      <w:r w:rsidRPr="00C22F2F">
        <w:rPr>
          <w:rFonts w:ascii="Cambria" w:hAnsi="Cambria"/>
          <w:b/>
          <w:bCs/>
        </w:rPr>
        <w:t>SB 5115</w:t>
      </w:r>
      <w:r w:rsidRPr="00C22F2F">
        <w:rPr>
          <w:rFonts w:ascii="Cambria" w:hAnsi="Cambria"/>
        </w:rPr>
        <w:t xml:space="preserve">, the Health Emergency Labor Standards Act (HELSA).  This bill addresses </w:t>
      </w:r>
      <w:r w:rsidRPr="00C22F2F">
        <w:rPr>
          <w:rFonts w:ascii="Cambria" w:hAnsi="Cambria"/>
          <w:b/>
          <w:bCs/>
        </w:rPr>
        <w:t>worker protections during a pandemic</w:t>
      </w:r>
      <w:r w:rsidRPr="00C22F2F">
        <w:rPr>
          <w:rFonts w:ascii="Cambria" w:hAnsi="Cambria"/>
        </w:rPr>
        <w:t xml:space="preserve">.  It creates a presumption for worker’s compensation coverage for frontline workers (which include employees of hospitals, clinics, and health care provider offices) and whistleblower protections, among other provisions.  </w:t>
      </w:r>
    </w:p>
    <w:p w:rsidR="00C4144B" w:rsidRPr="00C22F2F" w:rsidRDefault="00C4144B" w:rsidP="00C4144B">
      <w:pPr>
        <w:rPr>
          <w:rFonts w:ascii="Cambria" w:hAnsi="Cambria"/>
        </w:rPr>
      </w:pPr>
    </w:p>
    <w:p w:rsidR="00C4144B" w:rsidRPr="00C22F2F" w:rsidRDefault="00C4144B" w:rsidP="00C4144B">
      <w:pPr>
        <w:rPr>
          <w:rFonts w:ascii="Cambria" w:hAnsi="Cambria"/>
        </w:rPr>
      </w:pPr>
      <w:r w:rsidRPr="00C22F2F">
        <w:rPr>
          <w:rFonts w:ascii="Cambria" w:hAnsi="Cambria"/>
        </w:rPr>
        <w:t xml:space="preserve">On Monday at 1:30pm, the Senate Health &amp; Long Term Care Committee will hear </w:t>
      </w:r>
      <w:r w:rsidRPr="00C22F2F">
        <w:rPr>
          <w:rFonts w:ascii="Cambria" w:hAnsi="Cambria"/>
          <w:b/>
          <w:bCs/>
        </w:rPr>
        <w:t>SB 5052</w:t>
      </w:r>
      <w:r w:rsidRPr="00C22F2F">
        <w:rPr>
          <w:rFonts w:ascii="Cambria" w:hAnsi="Cambria"/>
        </w:rPr>
        <w:t xml:space="preserve">, legislation creating </w:t>
      </w:r>
      <w:r w:rsidRPr="00C22F2F">
        <w:rPr>
          <w:rFonts w:ascii="Cambria" w:hAnsi="Cambria"/>
          <w:b/>
          <w:bCs/>
        </w:rPr>
        <w:t>health equity zones</w:t>
      </w:r>
      <w:r w:rsidRPr="00C22F2F">
        <w:rPr>
          <w:rFonts w:ascii="Cambria" w:hAnsi="Cambria"/>
        </w:rPr>
        <w:t xml:space="preserve"> to address significant health disparities identified by health outcome data.  That committee will also conduct a work session on health equity work in the public and private sectors.</w:t>
      </w:r>
    </w:p>
    <w:p w:rsidR="00C4144B" w:rsidRPr="00C22F2F" w:rsidRDefault="00C4144B" w:rsidP="00C4144B">
      <w:pPr>
        <w:rPr>
          <w:rFonts w:ascii="Cambria" w:hAnsi="Cambria"/>
        </w:rPr>
      </w:pPr>
    </w:p>
    <w:p w:rsidR="00C4144B" w:rsidRPr="00C22F2F" w:rsidRDefault="00C4144B" w:rsidP="00C4144B">
      <w:pPr>
        <w:rPr>
          <w:rFonts w:ascii="Cambria" w:hAnsi="Cambria"/>
        </w:rPr>
      </w:pPr>
      <w:r w:rsidRPr="00C22F2F">
        <w:rPr>
          <w:rFonts w:ascii="Cambria" w:hAnsi="Cambria"/>
        </w:rPr>
        <w:t xml:space="preserve">Also on Monday at 1:30pm, the Senate Early Learning &amp; K-12 Committee will hear SB 5037, a bill establishing COVID </w:t>
      </w:r>
      <w:r w:rsidRPr="00C22F2F">
        <w:rPr>
          <w:rFonts w:ascii="Cambria" w:hAnsi="Cambria"/>
          <w:b/>
          <w:bCs/>
        </w:rPr>
        <w:t>school re-opening metrics</w:t>
      </w:r>
      <w:r w:rsidRPr="00C22F2F">
        <w:rPr>
          <w:rFonts w:ascii="Cambria" w:hAnsi="Cambria"/>
        </w:rPr>
        <w:t xml:space="preserve">. </w:t>
      </w:r>
    </w:p>
    <w:p w:rsidR="00C4144B" w:rsidRPr="00C22F2F" w:rsidRDefault="00C4144B" w:rsidP="00C4144B">
      <w:pPr>
        <w:rPr>
          <w:rFonts w:ascii="Cambria" w:hAnsi="Cambria"/>
        </w:rPr>
      </w:pPr>
    </w:p>
    <w:p w:rsidR="00C4144B" w:rsidRPr="00C22F2F" w:rsidRDefault="00C4144B" w:rsidP="00C4144B">
      <w:pPr>
        <w:rPr>
          <w:rFonts w:ascii="Cambria" w:eastAsia="Times New Roman" w:hAnsi="Cambria" w:cs="Arial"/>
          <w:color w:val="000000"/>
          <w:shd w:val="clear" w:color="auto" w:fill="FFFFFF"/>
        </w:rPr>
      </w:pPr>
      <w:r w:rsidRPr="00C22F2F">
        <w:rPr>
          <w:rFonts w:ascii="Cambria" w:hAnsi="Cambria"/>
        </w:rPr>
        <w:t xml:space="preserve">At 4pm on Monday, the Senate Ways &amp; Means Committee will hear SB 5021, </w:t>
      </w:r>
      <w:r w:rsidRPr="009D2278">
        <w:rPr>
          <w:rFonts w:ascii="Cambria" w:eastAsia="Times New Roman" w:hAnsi="Cambria" w:cs="Arial"/>
          <w:b/>
          <w:bCs/>
          <w:color w:val="000000"/>
          <w:shd w:val="clear" w:color="auto" w:fill="FFFFFF"/>
        </w:rPr>
        <w:t>protect</w:t>
      </w:r>
      <w:r w:rsidRPr="00C22F2F">
        <w:rPr>
          <w:rFonts w:ascii="Cambria" w:eastAsia="Times New Roman" w:hAnsi="Cambria" w:cs="Arial"/>
          <w:b/>
          <w:bCs/>
          <w:color w:val="000000"/>
          <w:shd w:val="clear" w:color="auto" w:fill="FFFFFF"/>
        </w:rPr>
        <w:t xml:space="preserve">ing </w:t>
      </w:r>
      <w:r w:rsidRPr="009D2278">
        <w:rPr>
          <w:rFonts w:ascii="Cambria" w:eastAsia="Times New Roman" w:hAnsi="Cambria" w:cs="Arial"/>
          <w:b/>
          <w:bCs/>
          <w:color w:val="000000"/>
          <w:shd w:val="clear" w:color="auto" w:fill="FFFFFF"/>
        </w:rPr>
        <w:t xml:space="preserve">retirement wages </w:t>
      </w:r>
      <w:r w:rsidRPr="00C22F2F">
        <w:rPr>
          <w:rFonts w:ascii="Cambria" w:eastAsia="Times New Roman" w:hAnsi="Cambria" w:cs="Arial"/>
          <w:b/>
          <w:bCs/>
          <w:color w:val="000000"/>
          <w:shd w:val="clear" w:color="auto" w:fill="FFFFFF"/>
        </w:rPr>
        <w:t>for public employees</w:t>
      </w:r>
      <w:r w:rsidRPr="00C22F2F">
        <w:rPr>
          <w:rFonts w:ascii="Cambria" w:eastAsia="Times New Roman" w:hAnsi="Cambria" w:cs="Arial"/>
          <w:color w:val="000000"/>
          <w:shd w:val="clear" w:color="auto" w:fill="FFFFFF"/>
        </w:rPr>
        <w:t xml:space="preserve"> </w:t>
      </w:r>
      <w:r w:rsidRPr="009D2278">
        <w:rPr>
          <w:rFonts w:ascii="Cambria" w:eastAsia="Times New Roman" w:hAnsi="Cambria" w:cs="Arial"/>
          <w:color w:val="000000"/>
          <w:shd w:val="clear" w:color="auto" w:fill="FFFFFF"/>
        </w:rPr>
        <w:t xml:space="preserve">from the impact of COVID-19 related furloughs.  </w:t>
      </w:r>
    </w:p>
    <w:p w:rsidR="00C4144B" w:rsidRPr="00C22F2F" w:rsidRDefault="00C4144B" w:rsidP="00C4144B">
      <w:pPr>
        <w:rPr>
          <w:rFonts w:ascii="Cambria" w:hAnsi="Cambria"/>
        </w:rPr>
      </w:pPr>
    </w:p>
    <w:p w:rsidR="00C4144B" w:rsidRPr="00C22F2F" w:rsidRDefault="00C4144B" w:rsidP="00C4144B">
      <w:pPr>
        <w:rPr>
          <w:rFonts w:ascii="Cambria" w:hAnsi="Cambria"/>
          <w:b/>
          <w:bCs/>
        </w:rPr>
      </w:pPr>
      <w:r w:rsidRPr="00C22F2F">
        <w:rPr>
          <w:rFonts w:ascii="Cambria" w:hAnsi="Cambria"/>
        </w:rPr>
        <w:t xml:space="preserve">On Wednesday at 8am, the Senate Health &amp; Long Term Care Committee will hold a </w:t>
      </w:r>
      <w:r w:rsidRPr="00C22F2F">
        <w:rPr>
          <w:rFonts w:ascii="Cambria" w:hAnsi="Cambria"/>
          <w:b/>
          <w:bCs/>
        </w:rPr>
        <w:t>work session on insurance coverage.</w:t>
      </w:r>
    </w:p>
    <w:p w:rsidR="00C4144B" w:rsidRPr="00C22F2F" w:rsidRDefault="00C4144B" w:rsidP="00C4144B">
      <w:pPr>
        <w:rPr>
          <w:rFonts w:ascii="Cambria" w:hAnsi="Cambria"/>
          <w:b/>
          <w:bCs/>
        </w:rPr>
      </w:pPr>
    </w:p>
    <w:p w:rsidR="00C4144B" w:rsidRPr="00C22F2F" w:rsidRDefault="00C4144B" w:rsidP="00C4144B">
      <w:pPr>
        <w:rPr>
          <w:rFonts w:ascii="Cambria" w:hAnsi="Cambria"/>
        </w:rPr>
      </w:pPr>
      <w:r w:rsidRPr="00C22F2F">
        <w:rPr>
          <w:rFonts w:ascii="Cambria" w:hAnsi="Cambria"/>
          <w:color w:val="000000" w:themeColor="text1"/>
        </w:rPr>
        <w:t xml:space="preserve">All committee hearings and House and Senate floor action can be viewed on </w:t>
      </w:r>
      <w:r w:rsidRPr="00C22F2F">
        <w:rPr>
          <w:rFonts w:ascii="Cambria" w:eastAsia="Times New Roman" w:hAnsi="Cambria" w:cs="Arial"/>
          <w:color w:val="3F4444"/>
          <w:shd w:val="clear" w:color="auto" w:fill="FFFFFF"/>
        </w:rPr>
        <w:t xml:space="preserve">TVW’s </w:t>
      </w:r>
      <w:hyperlink r:id="rId7" w:history="1">
        <w:r w:rsidRPr="00C22F2F">
          <w:rPr>
            <w:rStyle w:val="Hyperlink"/>
            <w:rFonts w:ascii="Cambria" w:eastAsia="Times New Roman" w:hAnsi="Cambria" w:cs="Arial"/>
            <w:shd w:val="clear" w:color="auto" w:fill="FFFFFF"/>
          </w:rPr>
          <w:t>website</w:t>
        </w:r>
      </w:hyperlink>
      <w:r w:rsidR="00C22F2F">
        <w:rPr>
          <w:rFonts w:ascii="Cambria" w:eastAsia="Times New Roman" w:hAnsi="Cambria" w:cs="Arial"/>
          <w:color w:val="3F4444"/>
          <w:shd w:val="clear" w:color="auto" w:fill="FFFFFF"/>
        </w:rPr>
        <w:t>.</w:t>
      </w:r>
    </w:p>
    <w:p w:rsidR="008E424F" w:rsidRPr="00C22F2F" w:rsidRDefault="008E424F">
      <w:pPr>
        <w:rPr>
          <w:rFonts w:ascii="Cambria" w:hAnsi="Cambria"/>
        </w:rPr>
      </w:pPr>
    </w:p>
    <w:sectPr w:rsidR="008E424F" w:rsidRPr="00C22F2F" w:rsidSect="00EC341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doNotTrackMoves/>
  <w:defaultTabStop w:val="720"/>
  <w:characterSpacingControl w:val="doNotCompress"/>
  <w:compat/>
  <w:rsids>
    <w:rsidRoot w:val="00F611E1"/>
    <w:rsid w:val="0001079A"/>
    <w:rsid w:val="008E424F"/>
    <w:rsid w:val="00977EF8"/>
    <w:rsid w:val="00C22F2F"/>
    <w:rsid w:val="00C4144B"/>
    <w:rsid w:val="00EC3416"/>
    <w:rsid w:val="00F611E1"/>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1E1"/>
    <w:rPr>
      <w:rFonts w:eastAsiaTheme="minorEastAsia"/>
    </w:rPr>
  </w:style>
  <w:style w:type="paragraph" w:styleId="Heading1">
    <w:name w:val="heading 1"/>
    <w:aliases w:val="Heading1"/>
    <w:basedOn w:val="Normal"/>
    <w:next w:val="Normal"/>
    <w:link w:val="Heading1Char"/>
    <w:uiPriority w:val="9"/>
    <w:qFormat/>
    <w:rsid w:val="00F611E1"/>
    <w:pPr>
      <w:keepNext/>
      <w:keepLines/>
      <w:spacing w:before="480"/>
      <w:jc w:val="center"/>
      <w:outlineLvl w:val="0"/>
    </w:pPr>
    <w:rPr>
      <w:rFonts w:ascii="Cambria" w:eastAsiaTheme="majorEastAsia" w:hAnsi="Cambria" w:cstheme="majorBidi"/>
      <w:b/>
      <w:bCs/>
      <w:color w:val="2D4F8E" w:themeColor="accent1" w:themeShade="B5"/>
      <w:sz w:val="28"/>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Heading1 Char"/>
    <w:basedOn w:val="DefaultParagraphFont"/>
    <w:link w:val="Heading1"/>
    <w:uiPriority w:val="9"/>
    <w:rsid w:val="00F611E1"/>
    <w:rPr>
      <w:rFonts w:ascii="Cambria" w:eastAsiaTheme="majorEastAsia" w:hAnsi="Cambria" w:cstheme="majorBidi"/>
      <w:b/>
      <w:bCs/>
      <w:color w:val="2D4F8E" w:themeColor="accent1" w:themeShade="B5"/>
      <w:sz w:val="28"/>
      <w:szCs w:val="32"/>
    </w:rPr>
  </w:style>
  <w:style w:type="paragraph" w:styleId="Title">
    <w:name w:val="Title"/>
    <w:basedOn w:val="Normal"/>
    <w:next w:val="Normal"/>
    <w:link w:val="TitleChar"/>
    <w:uiPriority w:val="10"/>
    <w:qFormat/>
    <w:rsid w:val="00F611E1"/>
    <w:pPr>
      <w:pBdr>
        <w:bottom w:val="single" w:sz="8" w:space="4" w:color="4472C4" w:themeColor="accent1"/>
      </w:pBdr>
      <w:spacing w:after="300"/>
      <w:contextualSpacing/>
    </w:pPr>
    <w:rPr>
      <w:rFonts w:ascii="Cambria" w:eastAsiaTheme="majorEastAsia" w:hAnsi="Cambria" w:cstheme="majorBidi"/>
      <w:b/>
      <w:color w:val="323E4F" w:themeColor="text2" w:themeShade="BF"/>
      <w:spacing w:val="5"/>
      <w:kern w:val="28"/>
      <w:sz w:val="36"/>
      <w:szCs w:val="52"/>
    </w:rPr>
  </w:style>
  <w:style w:type="character" w:customStyle="1" w:styleId="TitleChar">
    <w:name w:val="Title Char"/>
    <w:basedOn w:val="DefaultParagraphFont"/>
    <w:link w:val="Title"/>
    <w:uiPriority w:val="10"/>
    <w:rsid w:val="00F611E1"/>
    <w:rPr>
      <w:rFonts w:ascii="Cambria" w:eastAsiaTheme="majorEastAsia" w:hAnsi="Cambria" w:cstheme="majorBidi"/>
      <w:b/>
      <w:color w:val="323E4F" w:themeColor="text2" w:themeShade="BF"/>
      <w:spacing w:val="5"/>
      <w:kern w:val="28"/>
      <w:sz w:val="36"/>
      <w:szCs w:val="52"/>
    </w:rPr>
  </w:style>
  <w:style w:type="character" w:styleId="Hyperlink">
    <w:name w:val="Hyperlink"/>
    <w:basedOn w:val="DefaultParagraphFont"/>
    <w:uiPriority w:val="99"/>
    <w:unhideWhenUsed/>
    <w:rsid w:val="00F611E1"/>
    <w:rPr>
      <w:color w:val="0000FF"/>
      <w:u w:val="single"/>
    </w:rPr>
  </w:style>
  <w:style w:type="character" w:customStyle="1" w:styleId="apple-converted-space">
    <w:name w:val="apple-converted-space"/>
    <w:basedOn w:val="DefaultParagraphFont"/>
    <w:rsid w:val="00C4144B"/>
  </w:style>
  <w:style w:type="character" w:styleId="FollowedHyperlink">
    <w:name w:val="FollowedHyperlink"/>
    <w:basedOn w:val="DefaultParagraphFont"/>
    <w:uiPriority w:val="99"/>
    <w:semiHidden/>
    <w:unhideWhenUsed/>
    <w:rsid w:val="00C4144B"/>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lnks.gd/l/eyJhbGciOiJIUzI1NiJ9.eyJidWxsZXRpbl9saW5rX2lkIjoxMDEsInVyaSI6ImJwMjpjbGljayIsImJ1bGxldGluX2lkIjoiMjAyMTAxMTQuMzMzMDk2NzEiLCJ1cmwiOiJodHRwczovL3NlbmF0ZWRlbW9jcmF0cy53YS5nb3YvZnJvY2t0L3dwLWNvbnRlbnQvdXBsb2Fkcy9zaXRlcy8xNC8yMDIxLzAxL1NDRVItUmVwb3J0LnBkZiJ9.JJt4JIxJAHjz9T1frLiSPlOdFdBmH0w5n5eO7rnFmAc/s/1088366581/br/93110363644-l" TargetMode="External"/><Relationship Id="rId5" Type="http://schemas.openxmlformats.org/officeDocument/2006/relationships/hyperlink" Target="https://lnks.gd/l/eyJhbGciOiJIUzI1NiJ9.eyJidWxsZXRpbl9saW5rX2lkIjoxMDIsInVyaSI6ImJwMjpjbGljayIsImJ1bGxldGluX2lkIjoiMjAyMTAxMTQuMzMzMDk2NzEiLCJ1cmwiOiJodHRwczovL3NlbmF0ZWRlbW9jcmF0cy53YS5nb3YvZnJvY2t0L3dwLWNvbnRlbnQvdXBsb2Fkcy9zaXRlcy8xNC8yMDIxLzAxL1NDRVItUmVwb3J0LUFwcGVuZGl4LUFnZW5kYXMucGRmIn0.-a-pNhFtPPwEZN5moioQxb-9NlHq3_s0yrXHJZdkLP8/s/1088366581/br/93110363644-l" TargetMode="External"/><Relationship Id="rId6" Type="http://schemas.openxmlformats.org/officeDocument/2006/relationships/hyperlink" Target="https://lnks.gd/l/eyJhbGciOiJIUzI1NiJ9.eyJidWxsZXRpbl9saW5rX2lkIjoxMDMsInVyaSI6ImJwMjpjbGljayIsImJ1bGxldGluX2lkIjoiMjAyMTAxMTQuMzMzMDk2NzEiLCJ1cmwiOiJodHRwczovL3NlbmF0ZWRlbW9jcmF0cy53YS5nb3YvZnJvY2t0L3dwLWNvbnRlbnQvdXBsb2Fkcy9zaXRlcy8xNC8yMDIxLzAxL1NDRVItUmVwb3J0LUFwcGVuZGl4LU1hdGVyaWFscy5wZGYifQ.8NfMcQOm6agrJZos7-ip0kKh82VtCSeROi5f-SU0FuQ/s/1088366581/br/93110363644-l" TargetMode="External"/><Relationship Id="rId7" Type="http://schemas.openxmlformats.org/officeDocument/2006/relationships/hyperlink" Target="http://tvw.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3531</Characters>
  <Application>Microsoft Macintosh Word</Application>
  <DocSecurity>0</DocSecurity>
  <Lines>29</Lines>
  <Paragraphs>7</Paragraphs>
  <ScaleCrop>false</ScaleCrop>
  <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Judith</cp:lastModifiedBy>
  <cp:revision>2</cp:revision>
  <dcterms:created xsi:type="dcterms:W3CDTF">2021-01-17T18:30:00Z</dcterms:created>
  <dcterms:modified xsi:type="dcterms:W3CDTF">2021-01-17T18:30:00Z</dcterms:modified>
</cp:coreProperties>
</file>