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8EFC" w14:textId="7F86F7F3" w:rsidR="001B014D" w:rsidRPr="001B014D" w:rsidRDefault="00596CBB">
      <w:pPr>
        <w:pStyle w:val="Title"/>
        <w:rPr>
          <w:sz w:val="36"/>
          <w:szCs w:val="36"/>
        </w:rPr>
      </w:pPr>
      <w:r>
        <w:rPr>
          <w:sz w:val="36"/>
          <w:szCs w:val="36"/>
        </w:rPr>
        <w:t>Capitol News</w:t>
      </w:r>
    </w:p>
    <w:p w14:paraId="19FCFE03" w14:textId="77777777" w:rsidR="001B014D" w:rsidRPr="001B014D" w:rsidRDefault="001B014D">
      <w:pPr>
        <w:pStyle w:val="Title"/>
        <w:rPr>
          <w:sz w:val="36"/>
          <w:szCs w:val="36"/>
        </w:rPr>
      </w:pPr>
      <w:r w:rsidRPr="001B014D">
        <w:rPr>
          <w:sz w:val="36"/>
          <w:szCs w:val="36"/>
        </w:rPr>
        <w:t xml:space="preserve">March 20, 2021 </w:t>
      </w:r>
    </w:p>
    <w:p w14:paraId="1818B166" w14:textId="254994CD" w:rsidR="00B31DD1" w:rsidRPr="001B014D" w:rsidRDefault="001B014D">
      <w:pPr>
        <w:pStyle w:val="Title"/>
        <w:rPr>
          <w:sz w:val="36"/>
          <w:szCs w:val="36"/>
        </w:rPr>
      </w:pPr>
      <w:r w:rsidRPr="001B014D">
        <w:rPr>
          <w:sz w:val="36"/>
          <w:szCs w:val="36"/>
        </w:rPr>
        <w:t xml:space="preserve">Melissa Johnson, </w:t>
      </w:r>
      <w:r w:rsidR="00596CBB">
        <w:rPr>
          <w:sz w:val="36"/>
          <w:szCs w:val="36"/>
        </w:rPr>
        <w:t xml:space="preserve">WSLHA </w:t>
      </w:r>
      <w:r w:rsidRPr="001B014D">
        <w:rPr>
          <w:sz w:val="36"/>
          <w:szCs w:val="36"/>
        </w:rPr>
        <w:t>Lobbyist</w:t>
      </w:r>
    </w:p>
    <w:p w14:paraId="172660C7" w14:textId="6C08807A" w:rsidR="001B014D" w:rsidRPr="001B014D" w:rsidRDefault="001B014D" w:rsidP="001B014D">
      <w:r>
        <w:rPr>
          <w:noProof/>
        </w:rPr>
        <mc:AlternateContent>
          <mc:Choice Requires="wps">
            <w:drawing>
              <wp:anchor distT="0" distB="0" distL="114300" distR="114300" simplePos="0" relativeHeight="251659264" behindDoc="0" locked="0" layoutInCell="1" allowOverlap="1" wp14:anchorId="1D35B6FE" wp14:editId="74F261F3">
                <wp:simplePos x="0" y="0"/>
                <wp:positionH relativeFrom="column">
                  <wp:posOffset>-12238</wp:posOffset>
                </wp:positionH>
                <wp:positionV relativeFrom="paragraph">
                  <wp:posOffset>96347</wp:posOffset>
                </wp:positionV>
                <wp:extent cx="6999316" cy="0"/>
                <wp:effectExtent l="50800" t="38100" r="36830" b="76200"/>
                <wp:wrapNone/>
                <wp:docPr id="108" name="Straight Connector 108"/>
                <wp:cNvGraphicFramePr/>
                <a:graphic xmlns:a="http://schemas.openxmlformats.org/drawingml/2006/main">
                  <a:graphicData uri="http://schemas.microsoft.com/office/word/2010/wordprocessingShape">
                    <wps:wsp>
                      <wps:cNvCnPr/>
                      <wps:spPr>
                        <a:xfrm>
                          <a:off x="0" y="0"/>
                          <a:ext cx="699931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60B538" id="Straight Connector 10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7.6pt" to="550.2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" strokecolor="#4f81bd [3204]" strokeweight="2pt">
                <v:shadow on="t" color="black" opacity="24903f" origin=",.5" offset="0,.55556mm"/>
              </v:line>
            </w:pict>
          </mc:Fallback>
        </mc:AlternateContent>
      </w:r>
    </w:p>
    <w:p w14:paraId="1918A9EB" w14:textId="77777777" w:rsidR="00043E29" w:rsidRPr="000E1308" w:rsidRDefault="00043E29" w:rsidP="00043E29">
      <w:pPr>
        <w:pStyle w:val="Heading1"/>
      </w:pPr>
      <w:r>
        <w:t>Last</w:t>
      </w:r>
      <w:r w:rsidRPr="000E1308">
        <w:t xml:space="preserve"> Week’s Highlights</w:t>
      </w:r>
    </w:p>
    <w:p w14:paraId="623B6A38" w14:textId="77777777" w:rsidR="00043E29" w:rsidRDefault="00043E29" w:rsidP="00043E29">
      <w:pPr>
        <w:rPr>
          <w:rFonts w:ascii="Cambria" w:hAnsi="Cambria" w:cs="Calibri"/>
          <w:color w:val="231F20"/>
        </w:rPr>
      </w:pPr>
    </w:p>
    <w:p w14:paraId="1C66DBFC" w14:textId="77777777" w:rsidR="00043E29" w:rsidRPr="00255056" w:rsidRDefault="00043E29" w:rsidP="00043E29">
      <w:pPr>
        <w:rPr>
          <w:rFonts w:ascii="Cambria" w:hAnsi="Cambria"/>
        </w:rPr>
      </w:pPr>
      <w:r w:rsidRPr="00B078C1">
        <w:rPr>
          <w:rFonts w:ascii="Cambria" w:hAnsi="Cambria" w:cs="Calibri"/>
          <w:color w:val="231F20"/>
        </w:rPr>
        <w:t xml:space="preserve">Week </w:t>
      </w:r>
      <w:r>
        <w:rPr>
          <w:rFonts w:ascii="Cambria" w:hAnsi="Cambria" w:cs="Calibri"/>
          <w:color w:val="231F20"/>
        </w:rPr>
        <w:t xml:space="preserve">ten saw legislative committees with full agendas, hearing and voting on bills to meet next Friday’s policy committee cutoff.  </w:t>
      </w:r>
      <w:r w:rsidRPr="00255056">
        <w:rPr>
          <w:rFonts w:ascii="Cambria" w:hAnsi="Cambria"/>
        </w:rPr>
        <w:t xml:space="preserve">At this stage </w:t>
      </w:r>
      <w:r>
        <w:rPr>
          <w:rFonts w:ascii="Cambria" w:hAnsi="Cambria"/>
        </w:rPr>
        <w:t>of the</w:t>
      </w:r>
      <w:r w:rsidRPr="00255056">
        <w:rPr>
          <w:rFonts w:ascii="Cambria" w:hAnsi="Cambria"/>
        </w:rPr>
        <w:t xml:space="preserve"> session, it becomes clear which bills are likely to pass. </w:t>
      </w:r>
      <w:r>
        <w:rPr>
          <w:rFonts w:ascii="Cambria" w:hAnsi="Cambria"/>
        </w:rPr>
        <w:t xml:space="preserve"> </w:t>
      </w:r>
      <w:r w:rsidRPr="00255056">
        <w:rPr>
          <w:rFonts w:ascii="Cambria" w:hAnsi="Cambria"/>
        </w:rPr>
        <w:t xml:space="preserve">With few exceptions, majority Democrats are sticking to their stated priorities of addressing COVID-19 challenges, improving racial equity, advancing economic recovery, addressing climate change, and increasing revenue or creating savings. </w:t>
      </w:r>
    </w:p>
    <w:p w14:paraId="31120CC4" w14:textId="77777777" w:rsidR="00043E29" w:rsidRDefault="00043E29" w:rsidP="00043E29">
      <w:pPr>
        <w:rPr>
          <w:rFonts w:ascii="Cambria" w:hAnsi="Cambria" w:cs="Calibri"/>
          <w:b/>
          <w:bCs/>
          <w:color w:val="231F20"/>
        </w:rPr>
      </w:pPr>
    </w:p>
    <w:p w14:paraId="1C809A37"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r w:rsidRPr="00645E88">
        <w:rPr>
          <w:rFonts w:ascii="Cambria" w:hAnsi="Cambria" w:cs="Calibri"/>
          <w:b/>
          <w:bCs/>
          <w:color w:val="231F20"/>
        </w:rPr>
        <w:t>Economic news.</w:t>
      </w:r>
      <w:r w:rsidRPr="00645E88">
        <w:rPr>
          <w:rFonts w:ascii="Cambria" w:hAnsi="Cambria" w:cs="Calibri"/>
          <w:color w:val="231F20"/>
        </w:rPr>
        <w:t xml:space="preserve"> </w:t>
      </w:r>
      <w:r>
        <w:rPr>
          <w:rFonts w:ascii="Cambria" w:hAnsi="Cambria" w:cs="Calibri"/>
          <w:color w:val="231F20"/>
        </w:rPr>
        <w:t xml:space="preserve"> </w:t>
      </w:r>
      <w:r>
        <w:rPr>
          <w:rFonts w:ascii="Cambria" w:hAnsi="Cambria" w:cstheme="minorHAnsi"/>
          <w:color w:val="3F4444"/>
          <w:shd w:val="clear" w:color="auto" w:fill="FFFFFF"/>
        </w:rPr>
        <w:t xml:space="preserve">The state received some good news from the Economic and Revenue Forecast Council’s forecast released on Wednesday.  The forecast shows </w:t>
      </w:r>
      <w:r w:rsidRPr="00C60567">
        <w:rPr>
          <w:rFonts w:ascii="Cambria" w:hAnsi="Cambria" w:cstheme="minorHAnsi"/>
          <w:color w:val="3F4444"/>
        </w:rPr>
        <w:t xml:space="preserve">nearly $3.3 billion more </w:t>
      </w:r>
      <w:r>
        <w:rPr>
          <w:rFonts w:ascii="Cambria" w:hAnsi="Cambria" w:cstheme="minorHAnsi"/>
          <w:color w:val="3F4444"/>
        </w:rPr>
        <w:t xml:space="preserve">in revenue than previously expected over the next four years.  Broken down by biennium, that </w:t>
      </w:r>
      <w:r w:rsidRPr="00C60567">
        <w:rPr>
          <w:rFonts w:ascii="Cambria" w:hAnsi="Cambria" w:cstheme="minorHAnsi"/>
          <w:color w:val="3F4444"/>
        </w:rPr>
        <w:t>represents a </w:t>
      </w:r>
      <w:r w:rsidRPr="00C60567">
        <w:rPr>
          <w:rFonts w:ascii="Cambria" w:eastAsiaTheme="majorEastAsia" w:hAnsi="Cambria" w:cstheme="minorHAnsi"/>
          <w:color w:val="000000" w:themeColor="text1"/>
        </w:rPr>
        <w:t>$1.3 billion increase in revenue for the current 2019-21 biennium and a $1.9 billion increase for the 2021-23 biennium</w:t>
      </w:r>
      <w:r w:rsidRPr="00C60567">
        <w:rPr>
          <w:rFonts w:ascii="Cambria" w:hAnsi="Cambria" w:cstheme="minorHAnsi"/>
          <w:color w:val="3F4444"/>
        </w:rPr>
        <w:t xml:space="preserve">. </w:t>
      </w:r>
      <w:r>
        <w:rPr>
          <w:rFonts w:ascii="Cambria" w:hAnsi="Cambria" w:cstheme="minorHAnsi"/>
          <w:color w:val="3F4444"/>
        </w:rPr>
        <w:t xml:space="preserve"> </w:t>
      </w:r>
      <w:r w:rsidRPr="00C90EF1">
        <w:rPr>
          <w:rFonts w:ascii="Cambria" w:hAnsi="Cambria" w:cstheme="minorHAnsi"/>
          <w:color w:val="000000" w:themeColor="text1"/>
        </w:rPr>
        <w:t xml:space="preserve">This puts the state’s revenue picture back to where it was in February 2020. </w:t>
      </w:r>
    </w:p>
    <w:p w14:paraId="0CA8EFBF"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p>
    <w:p w14:paraId="48023BF7"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r>
        <w:rPr>
          <w:rFonts w:ascii="Cambria" w:hAnsi="Cambria" w:cstheme="minorHAnsi"/>
          <w:color w:val="000000" w:themeColor="text1"/>
        </w:rPr>
        <w:t>While this is certainly good news, legislators warned that there is still uncertainty in the state’s economic outlook, with impacts of COVID as the primary unknown.  While the influx of federal dollars from the American Rescue Plan Act (ARPA) provides much-needed stimulus, it is one-time funding.  Legislators cautioned that their challenge with the upcoming budget is to ensure that the state’s long-term economic future is sustainable once these federal funds are spent.</w:t>
      </w:r>
    </w:p>
    <w:p w14:paraId="18C35ACF"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p>
    <w:p w14:paraId="197F7624"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r w:rsidRPr="005C4E56">
        <w:rPr>
          <w:rFonts w:ascii="Cambria" w:hAnsi="Cambria" w:cstheme="minorHAnsi"/>
          <w:b/>
          <w:bCs/>
          <w:color w:val="000000" w:themeColor="text1"/>
        </w:rPr>
        <w:t>American Rescue Plan Act work session</w:t>
      </w:r>
      <w:r>
        <w:rPr>
          <w:rFonts w:ascii="Cambria" w:hAnsi="Cambria" w:cstheme="minorHAnsi"/>
          <w:color w:val="000000" w:themeColor="text1"/>
        </w:rPr>
        <w:t xml:space="preserve">…The Senate Ways &amp; Means Committee held a work session on the American Rescue Plan Act (ARPA) last Friday.  While there is a high-level understanding of the level of funding, the state must wait for federal guidance on many aspects of how to appropriate these dollars.  The presentation from the work session can be found </w:t>
      </w:r>
      <w:hyperlink r:id="rId7" w:anchor="toolbar=0&amp;navpanes=0" w:history="1">
        <w:r w:rsidRPr="00311B02">
          <w:rPr>
            <w:rStyle w:val="Hyperlink"/>
            <w:rFonts w:ascii="Cambria" w:hAnsi="Cambria" w:cstheme="minorHAnsi"/>
          </w:rPr>
          <w:t>here</w:t>
        </w:r>
      </w:hyperlink>
      <w:r>
        <w:rPr>
          <w:rFonts w:ascii="Cambria" w:hAnsi="Cambria" w:cstheme="minorHAnsi"/>
          <w:color w:val="000000" w:themeColor="text1"/>
        </w:rPr>
        <w:t>.  Here are highlights taken from the presentation:</w:t>
      </w:r>
    </w:p>
    <w:p w14:paraId="49E40CBB"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p>
    <w:p w14:paraId="4CC950FA" w14:textId="77777777" w:rsidR="00043E29" w:rsidRPr="00CE1A64" w:rsidRDefault="00043E29" w:rsidP="00043E29">
      <w:pPr>
        <w:pStyle w:val="ListParagraph"/>
        <w:numPr>
          <w:ilvl w:val="0"/>
          <w:numId w:val="11"/>
        </w:numPr>
        <w:rPr>
          <w:rFonts w:eastAsia="Times New Roman" w:cs="Times New Roman"/>
        </w:rPr>
      </w:pPr>
      <w:r w:rsidRPr="00CE1A64">
        <w:rPr>
          <w:rFonts w:eastAsia="Times New Roman" w:cs="Times New Roman"/>
        </w:rPr>
        <w:t>Washington will receive an estimated $4.44 billion</w:t>
      </w:r>
      <w:r>
        <w:rPr>
          <w:rFonts w:eastAsia="Times New Roman" w:cs="Times New Roman"/>
        </w:rPr>
        <w:t xml:space="preserve"> in state funding</w:t>
      </w:r>
      <w:r w:rsidRPr="00CE1A64">
        <w:rPr>
          <w:rFonts w:eastAsia="Times New Roman" w:cs="Times New Roman"/>
        </w:rPr>
        <w:t xml:space="preserve"> </w:t>
      </w:r>
    </w:p>
    <w:p w14:paraId="62346800" w14:textId="77777777" w:rsidR="00043E29" w:rsidRPr="00CE1A64" w:rsidRDefault="00043E29" w:rsidP="00043E29">
      <w:pPr>
        <w:pStyle w:val="ListParagraph"/>
        <w:numPr>
          <w:ilvl w:val="1"/>
          <w:numId w:val="11"/>
        </w:numPr>
        <w:rPr>
          <w:rFonts w:eastAsia="Times New Roman" w:cs="Times New Roman"/>
        </w:rPr>
      </w:pPr>
      <w:r w:rsidRPr="00CE1A64">
        <w:rPr>
          <w:rFonts w:eastAsia="Times New Roman" w:cs="Times New Roman"/>
        </w:rPr>
        <w:t xml:space="preserve">$4.25 billion in flexible dollars </w:t>
      </w:r>
    </w:p>
    <w:p w14:paraId="0F86B865" w14:textId="77777777" w:rsidR="00043E29" w:rsidRPr="00CE1A64" w:rsidRDefault="00043E29" w:rsidP="00043E29">
      <w:pPr>
        <w:pStyle w:val="ListParagraph"/>
        <w:numPr>
          <w:ilvl w:val="1"/>
          <w:numId w:val="11"/>
        </w:numPr>
        <w:rPr>
          <w:rFonts w:eastAsia="Times New Roman" w:cs="Times New Roman"/>
        </w:rPr>
      </w:pPr>
      <w:r w:rsidRPr="00CE1A64">
        <w:rPr>
          <w:rFonts w:eastAsia="Times New Roman" w:cs="Times New Roman"/>
        </w:rPr>
        <w:t xml:space="preserve">$189 million in “capital project” dollars </w:t>
      </w:r>
    </w:p>
    <w:p w14:paraId="3E5CBFDA" w14:textId="77777777" w:rsidR="00043E29" w:rsidRPr="00CE1A64" w:rsidRDefault="00043E29" w:rsidP="00043E29">
      <w:pPr>
        <w:pStyle w:val="ListParagraph"/>
        <w:numPr>
          <w:ilvl w:val="0"/>
          <w:numId w:val="11"/>
        </w:numPr>
        <w:rPr>
          <w:rFonts w:eastAsia="Times New Roman" w:cs="Times New Roman"/>
        </w:rPr>
      </w:pPr>
      <w:r w:rsidRPr="00CE1A64">
        <w:rPr>
          <w:rFonts w:eastAsia="Times New Roman" w:cs="Times New Roman"/>
        </w:rPr>
        <w:t xml:space="preserve">Emergency Rental Assistance Program: $404 million (estimated) </w:t>
      </w:r>
    </w:p>
    <w:p w14:paraId="0738DAC7" w14:textId="77777777" w:rsidR="00043E29" w:rsidRPr="00CE1A64" w:rsidRDefault="00043E29" w:rsidP="00043E29">
      <w:pPr>
        <w:pStyle w:val="ListParagraph"/>
        <w:numPr>
          <w:ilvl w:val="0"/>
          <w:numId w:val="11"/>
        </w:numPr>
        <w:rPr>
          <w:rFonts w:eastAsia="Times New Roman" w:cs="Times New Roman"/>
        </w:rPr>
      </w:pPr>
      <w:r w:rsidRPr="00CE1A64">
        <w:rPr>
          <w:rFonts w:eastAsia="Times New Roman" w:cs="Times New Roman"/>
        </w:rPr>
        <w:t xml:space="preserve">Unemployment insurance: $300/week through Sept. 4 ($10,200 tax-deductible for some) </w:t>
      </w:r>
    </w:p>
    <w:p w14:paraId="2B2DA9D5" w14:textId="77777777" w:rsidR="00043E29" w:rsidRPr="00CE1A64" w:rsidRDefault="00043E29" w:rsidP="00043E29">
      <w:pPr>
        <w:pStyle w:val="ListParagraph"/>
        <w:numPr>
          <w:ilvl w:val="0"/>
          <w:numId w:val="11"/>
        </w:numPr>
        <w:rPr>
          <w:rFonts w:eastAsia="Times New Roman" w:cs="Times New Roman"/>
        </w:rPr>
      </w:pPr>
      <w:r w:rsidRPr="00CE1A64">
        <w:rPr>
          <w:rFonts w:eastAsia="Times New Roman" w:cs="Times New Roman"/>
        </w:rPr>
        <w:t xml:space="preserve">FMAP: 10% for state expenditures on Home and Community-Based Services (HCBS) for four fiscal quarters (capped at 95%) </w:t>
      </w:r>
    </w:p>
    <w:p w14:paraId="11D92A4C" w14:textId="77777777" w:rsidR="00043E29" w:rsidRPr="00CE1A64" w:rsidRDefault="00043E29" w:rsidP="00043E29">
      <w:pPr>
        <w:rPr>
          <w:rFonts w:eastAsia="Times New Roman" w:cs="Times New Roman"/>
        </w:rPr>
      </w:pPr>
    </w:p>
    <w:p w14:paraId="533857E3" w14:textId="77777777" w:rsidR="00043E29" w:rsidRPr="00CE1A64" w:rsidRDefault="00043E29" w:rsidP="00043E29">
      <w:pPr>
        <w:rPr>
          <w:rFonts w:eastAsia="Times New Roman" w:cs="Times New Roman"/>
        </w:rPr>
      </w:pPr>
      <w:r w:rsidRPr="002D4B15">
        <w:rPr>
          <w:rFonts w:eastAsia="Times New Roman" w:cs="Times New Roman"/>
        </w:rPr>
        <w:t>Eligible uses</w:t>
      </w:r>
      <w:r>
        <w:rPr>
          <w:rFonts w:eastAsia="Times New Roman" w:cs="Times New Roman"/>
        </w:rPr>
        <w:t xml:space="preserve"> for ARPA funds</w:t>
      </w:r>
      <w:r w:rsidRPr="002D4B15">
        <w:rPr>
          <w:rFonts w:eastAsia="Times New Roman" w:cs="Times New Roman"/>
        </w:rPr>
        <w:t xml:space="preserve">: </w:t>
      </w:r>
    </w:p>
    <w:p w14:paraId="339074BC" w14:textId="77777777" w:rsidR="00043E29" w:rsidRPr="00CE1A64" w:rsidRDefault="00043E29" w:rsidP="00043E29">
      <w:pPr>
        <w:pStyle w:val="ListParagraph"/>
        <w:numPr>
          <w:ilvl w:val="0"/>
          <w:numId w:val="12"/>
        </w:numPr>
        <w:rPr>
          <w:rFonts w:eastAsia="Times New Roman" w:cs="Times New Roman"/>
        </w:rPr>
      </w:pPr>
      <w:r w:rsidRPr="00CE1A64">
        <w:rPr>
          <w:rFonts w:eastAsia="Times New Roman" w:cs="Times New Roman"/>
        </w:rPr>
        <w:t xml:space="preserve">Respond to [COVID-19] or its “negative economic impacts” </w:t>
      </w:r>
    </w:p>
    <w:p w14:paraId="47DB1EE6" w14:textId="77777777" w:rsidR="00043E29" w:rsidRPr="00CE1A64" w:rsidRDefault="00043E29" w:rsidP="00043E29">
      <w:pPr>
        <w:pStyle w:val="ListParagraph"/>
        <w:numPr>
          <w:ilvl w:val="0"/>
          <w:numId w:val="12"/>
        </w:numPr>
        <w:rPr>
          <w:rFonts w:eastAsia="Times New Roman" w:cs="Times New Roman"/>
        </w:rPr>
      </w:pPr>
      <w:r w:rsidRPr="00CE1A64">
        <w:rPr>
          <w:rFonts w:eastAsia="Times New Roman" w:cs="Times New Roman"/>
        </w:rPr>
        <w:t xml:space="preserve">Provide premium pay to eligible workers doing “essential work” </w:t>
      </w:r>
    </w:p>
    <w:p w14:paraId="3C3D25C9" w14:textId="77777777" w:rsidR="00043E29" w:rsidRPr="00CE1A64" w:rsidRDefault="00043E29" w:rsidP="00043E29">
      <w:pPr>
        <w:pStyle w:val="ListParagraph"/>
        <w:numPr>
          <w:ilvl w:val="0"/>
          <w:numId w:val="12"/>
        </w:numPr>
        <w:rPr>
          <w:rFonts w:eastAsia="Times New Roman" w:cs="Times New Roman"/>
        </w:rPr>
      </w:pPr>
      <w:r w:rsidRPr="00CE1A64">
        <w:rPr>
          <w:rFonts w:eastAsia="Times New Roman" w:cs="Times New Roman"/>
        </w:rPr>
        <w:lastRenderedPageBreak/>
        <w:t xml:space="preserve">Replace revenue -- “the extent of the reduction in revenue…relative to revenues collected in the most recent full fiscal year prior to the emergency…” </w:t>
      </w:r>
    </w:p>
    <w:p w14:paraId="10DF6DC2" w14:textId="77777777" w:rsidR="00043E29" w:rsidRPr="00CE1A64" w:rsidRDefault="00043E29" w:rsidP="00043E29">
      <w:pPr>
        <w:pStyle w:val="ListParagraph"/>
        <w:numPr>
          <w:ilvl w:val="0"/>
          <w:numId w:val="12"/>
        </w:numPr>
        <w:rPr>
          <w:rFonts w:eastAsia="Times New Roman" w:cs="Times New Roman"/>
        </w:rPr>
      </w:pPr>
      <w:r w:rsidRPr="00CE1A64">
        <w:rPr>
          <w:rFonts w:eastAsia="Times New Roman" w:cs="Times New Roman"/>
        </w:rPr>
        <w:t xml:space="preserve">Make necessary investments in water, sewer, or broadband infrastructure </w:t>
      </w:r>
    </w:p>
    <w:p w14:paraId="668267DE" w14:textId="77777777" w:rsidR="00043E29" w:rsidRPr="00CE1A64" w:rsidRDefault="00043E29" w:rsidP="00043E29">
      <w:pPr>
        <w:pStyle w:val="ListParagraph"/>
        <w:numPr>
          <w:ilvl w:val="0"/>
          <w:numId w:val="12"/>
        </w:numPr>
        <w:rPr>
          <w:rFonts w:eastAsia="Times New Roman" w:cs="Times New Roman"/>
        </w:rPr>
      </w:pPr>
      <w:r w:rsidRPr="00CE1A64">
        <w:rPr>
          <w:rFonts w:eastAsia="Times New Roman" w:cs="Times New Roman"/>
        </w:rPr>
        <w:t xml:space="preserve">Capital projects -- “directly enabling work, education, and health monitoring, including remote options, in response to [COVID-19]” </w:t>
      </w:r>
    </w:p>
    <w:p w14:paraId="33D798EC" w14:textId="77777777" w:rsidR="00043E29" w:rsidRDefault="00043E29" w:rsidP="00043E29">
      <w:pPr>
        <w:rPr>
          <w:rFonts w:eastAsia="Times New Roman" w:cs="Times New Roman"/>
        </w:rPr>
      </w:pPr>
    </w:p>
    <w:p w14:paraId="71127770" w14:textId="77777777" w:rsidR="00043E29" w:rsidRDefault="00043E29" w:rsidP="00043E29">
      <w:pPr>
        <w:rPr>
          <w:rFonts w:eastAsia="Times New Roman" w:cs="Times New Roman"/>
        </w:rPr>
      </w:pPr>
      <w:r>
        <w:rPr>
          <w:rFonts w:eastAsia="Times New Roman" w:cs="Times New Roman"/>
        </w:rPr>
        <w:t>Ineligible uses:</w:t>
      </w:r>
    </w:p>
    <w:p w14:paraId="6C7CFE7E" w14:textId="77777777" w:rsidR="00043E29" w:rsidRPr="00CE1A64" w:rsidRDefault="00043E29" w:rsidP="00043E29">
      <w:pPr>
        <w:pStyle w:val="ListParagraph"/>
        <w:numPr>
          <w:ilvl w:val="0"/>
          <w:numId w:val="13"/>
        </w:numPr>
        <w:rPr>
          <w:rFonts w:eastAsia="Times New Roman" w:cs="Times New Roman"/>
        </w:rPr>
      </w:pPr>
      <w:r w:rsidRPr="00CE1A64">
        <w:rPr>
          <w:rFonts w:eastAsia="Times New Roman" w:cs="Times New Roman"/>
        </w:rPr>
        <w:t xml:space="preserve">Cannot deposit into pension funds </w:t>
      </w:r>
    </w:p>
    <w:p w14:paraId="123C1CE4" w14:textId="77777777" w:rsidR="00043E29" w:rsidRPr="00CE1A64" w:rsidRDefault="00043E29" w:rsidP="00043E29">
      <w:pPr>
        <w:pStyle w:val="ListParagraph"/>
        <w:numPr>
          <w:ilvl w:val="0"/>
          <w:numId w:val="13"/>
        </w:numPr>
        <w:rPr>
          <w:rFonts w:eastAsia="Times New Roman" w:cs="Times New Roman"/>
        </w:rPr>
      </w:pPr>
      <w:r w:rsidRPr="00CE1A64">
        <w:rPr>
          <w:rFonts w:eastAsia="Times New Roman" w:cs="Times New Roman"/>
        </w:rPr>
        <w:t>Cannot “directly or indirectly offset a reduction in the next tax revenue…resulting from a change in law, regulation, or administrative interpretation during the covered period”</w:t>
      </w:r>
    </w:p>
    <w:p w14:paraId="272D06B6" w14:textId="77777777" w:rsidR="00043E29" w:rsidRDefault="00043E29" w:rsidP="00043E29">
      <w:pPr>
        <w:pStyle w:val="NormalWeb"/>
        <w:shd w:val="clear" w:color="auto" w:fill="FFFFFF"/>
        <w:spacing w:before="0" w:beforeAutospacing="0" w:after="0" w:afterAutospacing="0"/>
        <w:rPr>
          <w:rFonts w:ascii="Cambria" w:hAnsi="Cambria" w:cstheme="minorHAnsi"/>
          <w:color w:val="000000" w:themeColor="text1"/>
        </w:rPr>
      </w:pPr>
    </w:p>
    <w:p w14:paraId="05672A38" w14:textId="77777777" w:rsidR="00043E29" w:rsidRDefault="00043E29" w:rsidP="00043E29">
      <w:pPr>
        <w:rPr>
          <w:rFonts w:ascii="Cambria" w:hAnsi="Cambria"/>
        </w:rPr>
      </w:pPr>
      <w:r w:rsidRPr="00645E88">
        <w:rPr>
          <w:rFonts w:ascii="Cambria" w:eastAsia="Times New Roman" w:hAnsi="Cambria" w:cs="Times New Roman"/>
          <w:b/>
          <w:bCs/>
        </w:rPr>
        <w:t>Capital gains legislation.</w:t>
      </w:r>
      <w:r w:rsidRPr="00645E88">
        <w:rPr>
          <w:rFonts w:ascii="Cambria" w:eastAsia="Times New Roman" w:hAnsi="Cambria" w:cs="Times New Roman"/>
        </w:rPr>
        <w:t xml:space="preserve"> </w:t>
      </w:r>
      <w:r>
        <w:rPr>
          <w:rFonts w:ascii="Cambria" w:eastAsia="Times New Roman" w:hAnsi="Cambria" w:cs="Times New Roman"/>
        </w:rPr>
        <w:t xml:space="preserve"> The House Finance Committee heard SB 5096 on Monday.  </w:t>
      </w:r>
      <w:r w:rsidRPr="005158A8">
        <w:rPr>
          <w:rFonts w:ascii="Cambria" w:hAnsi="Cambria"/>
        </w:rPr>
        <w:t xml:space="preserve">Of the 4,002 people who signed in on the bill, about 2,380 (60%) were in favor of the legislation. Congressman Dan Newhouse also appeared before the committee to oppose the bill, saying the IRS told him in 2018 that “capital gains are treated as income under the tax code, and taxed as such.” Perhaps a sign of referendum signature gathering to come, opponents of the bill presented a petition against </w:t>
      </w:r>
      <w:r>
        <w:rPr>
          <w:rFonts w:ascii="Cambria" w:hAnsi="Cambria"/>
        </w:rPr>
        <w:t xml:space="preserve">SB </w:t>
      </w:r>
      <w:r w:rsidRPr="005158A8">
        <w:rPr>
          <w:rFonts w:ascii="Cambria" w:hAnsi="Cambria"/>
        </w:rPr>
        <w:t xml:space="preserve">5096 with 13,688 signatures. </w:t>
      </w:r>
      <w:r>
        <w:rPr>
          <w:rFonts w:ascii="Cambria" w:hAnsi="Cambria"/>
        </w:rPr>
        <w:t xml:space="preserve"> </w:t>
      </w:r>
      <w:r w:rsidRPr="005158A8">
        <w:rPr>
          <w:rFonts w:ascii="Cambria" w:hAnsi="Cambria"/>
        </w:rPr>
        <w:t>The bill has not yet been scheduled for executive action.</w:t>
      </w:r>
    </w:p>
    <w:p w14:paraId="61D90A36" w14:textId="77777777" w:rsidR="001E134D" w:rsidRPr="00DC104B" w:rsidRDefault="001E134D" w:rsidP="001E134D">
      <w:pPr>
        <w:pStyle w:val="Heading1"/>
        <w:rPr>
          <w:rFonts w:asciiTheme="minorHAnsi" w:hAnsiTheme="minorHAnsi"/>
        </w:rPr>
      </w:pPr>
      <w:r>
        <w:rPr>
          <w:rFonts w:asciiTheme="minorHAnsi" w:hAnsiTheme="minorHAnsi"/>
        </w:rPr>
        <w:t>Priority Bill Updates</w:t>
      </w:r>
    </w:p>
    <w:p w14:paraId="5E69B52C" w14:textId="77777777" w:rsidR="001E134D" w:rsidRDefault="001E134D" w:rsidP="001E134D">
      <w:pPr>
        <w:rPr>
          <w:rFonts w:ascii="Cambria" w:hAnsi="Cambria"/>
        </w:rPr>
      </w:pPr>
    </w:p>
    <w:p w14:paraId="185846FB" w14:textId="7E23F620" w:rsidR="001E134D" w:rsidRPr="00317FBA" w:rsidRDefault="001E134D" w:rsidP="001E134D">
      <w:pPr>
        <w:pStyle w:val="ListParagraph"/>
        <w:numPr>
          <w:ilvl w:val="0"/>
          <w:numId w:val="14"/>
        </w:numPr>
        <w:rPr>
          <w:rFonts w:cs="Arial"/>
          <w:b/>
          <w:bCs/>
          <w:color w:val="333333"/>
          <w:shd w:val="clear" w:color="auto" w:fill="FFFFFF"/>
        </w:rPr>
      </w:pPr>
      <w:r w:rsidRPr="006620E4">
        <w:rPr>
          <w:rFonts w:cs="Arial"/>
          <w:b/>
          <w:bCs/>
          <w:color w:val="333333"/>
          <w:shd w:val="clear" w:color="auto" w:fill="FFFFFF"/>
        </w:rPr>
        <w:t>HB 1196</w:t>
      </w:r>
      <w:r w:rsidRPr="006620E4">
        <w:rPr>
          <w:rFonts w:cs="Arial"/>
          <w:color w:val="333333"/>
          <w:shd w:val="clear" w:color="auto" w:fill="FFFFFF"/>
        </w:rPr>
        <w:t xml:space="preserve">, the bill that creates reimbursement parity for </w:t>
      </w:r>
      <w:r w:rsidRPr="006620E4">
        <w:rPr>
          <w:rFonts w:cs="Arial"/>
          <w:b/>
          <w:bCs/>
          <w:color w:val="333333"/>
          <w:shd w:val="clear" w:color="auto" w:fill="FFFFFF"/>
        </w:rPr>
        <w:t>audio-only consultations</w:t>
      </w:r>
      <w:r w:rsidRPr="006620E4">
        <w:rPr>
          <w:rFonts w:cs="Arial"/>
          <w:color w:val="333333"/>
          <w:shd w:val="clear" w:color="auto" w:fill="FFFFFF"/>
        </w:rPr>
        <w:t xml:space="preserve">, </w:t>
      </w:r>
      <w:r>
        <w:rPr>
          <w:rFonts w:cs="Arial"/>
          <w:color w:val="333333"/>
          <w:shd w:val="clear" w:color="auto" w:fill="FFFFFF"/>
        </w:rPr>
        <w:t xml:space="preserve">was heard in 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 on March 12th</w:t>
      </w:r>
      <w:r w:rsidRPr="00256C21">
        <w:rPr>
          <w:rFonts w:eastAsia="Times New Roman" w:cs="Calibri"/>
          <w:color w:val="000000"/>
        </w:rPr>
        <w:t>. </w:t>
      </w:r>
      <w:r>
        <w:rPr>
          <w:rFonts w:eastAsia="Times New Roman" w:cs="Calibri"/>
          <w:color w:val="000000"/>
        </w:rPr>
        <w:t xml:space="preserve"> </w:t>
      </w:r>
      <w:r w:rsidR="00B3536A">
        <w:rPr>
          <w:rFonts w:eastAsia="Times New Roman" w:cs="Calibri"/>
          <w:color w:val="000000"/>
        </w:rPr>
        <w:t>WSLHA</w:t>
      </w:r>
      <w:r w:rsidRPr="0058182C">
        <w:rPr>
          <w:rFonts w:eastAsia="Times New Roman" w:cs="Calibri"/>
          <w:color w:val="000000"/>
        </w:rPr>
        <w:t xml:space="preserve"> signed in in support of this bill. </w:t>
      </w:r>
      <w:r>
        <w:rPr>
          <w:rFonts w:eastAsia="Times New Roman" w:cs="Calibri"/>
          <w:b/>
          <w:bCs/>
          <w:color w:val="000000"/>
        </w:rPr>
        <w:t xml:space="preserve"> </w:t>
      </w:r>
      <w:r>
        <w:rPr>
          <w:rFonts w:eastAsia="Times New Roman" w:cs="Calibri"/>
          <w:color w:val="000000"/>
        </w:rPr>
        <w:t>It hasn’t been scheduled for executive session yet.</w:t>
      </w:r>
    </w:p>
    <w:p w14:paraId="0DA7D78A" w14:textId="77777777" w:rsidR="001E134D" w:rsidRDefault="001E134D" w:rsidP="001E134D">
      <w:pPr>
        <w:rPr>
          <w:rFonts w:cs="Arial"/>
          <w:color w:val="333333"/>
          <w:shd w:val="clear" w:color="auto" w:fill="FFFFFF"/>
        </w:rPr>
      </w:pPr>
    </w:p>
    <w:p w14:paraId="7B048020" w14:textId="518FA905" w:rsidR="001E134D" w:rsidRPr="0058182C" w:rsidRDefault="001E134D" w:rsidP="001E134D">
      <w:pPr>
        <w:pStyle w:val="ListParagraph"/>
        <w:numPr>
          <w:ilvl w:val="0"/>
          <w:numId w:val="14"/>
        </w:numPr>
        <w:rPr>
          <w:rFonts w:cs="Arial"/>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 xml:space="preserve">the bill providing </w:t>
      </w:r>
      <w:r w:rsidRPr="004C51CF">
        <w:rPr>
          <w:rFonts w:cs="Arial"/>
          <w:b/>
          <w:bCs/>
          <w:color w:val="333333"/>
          <w:shd w:val="clear" w:color="auto" w:fill="FFFFFF"/>
        </w:rPr>
        <w:t>reimbursement</w:t>
      </w:r>
      <w:r w:rsidRPr="006620E4">
        <w:rPr>
          <w:rFonts w:cs="Arial"/>
          <w:color w:val="333333"/>
          <w:shd w:val="clear" w:color="auto" w:fill="FFFFFF"/>
        </w:rPr>
        <w:t xml:space="preserve"> to health care providers for the cost of</w:t>
      </w:r>
      <w:r w:rsidRPr="006620E4">
        <w:rPr>
          <w:rFonts w:cs="Arial"/>
          <w:b/>
          <w:bCs/>
          <w:color w:val="333333"/>
          <w:shd w:val="clear" w:color="auto" w:fill="FFFFFF"/>
        </w:rPr>
        <w:t xml:space="preserve"> PPE</w:t>
      </w:r>
      <w:r w:rsidRPr="006620E4">
        <w:rPr>
          <w:rFonts w:cs="Arial"/>
          <w:color w:val="333333"/>
          <w:shd w:val="clear" w:color="auto" w:fill="FFFFFF"/>
        </w:rPr>
        <w:t xml:space="preserve"> when treating patients in person, </w:t>
      </w:r>
      <w:r>
        <w:rPr>
          <w:rFonts w:cs="Arial"/>
          <w:color w:val="333333"/>
          <w:shd w:val="clear" w:color="auto" w:fill="FFFFFF"/>
        </w:rPr>
        <w:t xml:space="preserve">passed the House Health Care &amp; Wellness Committee last Wednesday. </w:t>
      </w:r>
      <w:r w:rsidR="00B3536A">
        <w:rPr>
          <w:rFonts w:eastAsia="Times New Roman" w:cs="Calibri"/>
          <w:color w:val="000000"/>
        </w:rPr>
        <w:t>WSLHA</w:t>
      </w:r>
      <w:r w:rsidRPr="0058182C">
        <w:rPr>
          <w:rFonts w:eastAsia="Times New Roman" w:cs="Calibri"/>
          <w:color w:val="000000"/>
        </w:rPr>
        <w:t xml:space="preserve"> signed in in support of this bill.</w:t>
      </w:r>
      <w:r>
        <w:rPr>
          <w:rFonts w:eastAsia="Times New Roman" w:cs="Calibri"/>
          <w:color w:val="000000"/>
        </w:rPr>
        <w:t xml:space="preserve">  It is now in the Rules Committee.</w:t>
      </w:r>
    </w:p>
    <w:p w14:paraId="76B45843" w14:textId="77777777" w:rsidR="001E134D" w:rsidRPr="00EB0E1D" w:rsidRDefault="001E134D" w:rsidP="001E134D">
      <w:pPr>
        <w:pStyle w:val="ListParagraph"/>
        <w:rPr>
          <w:rFonts w:cs="Arial"/>
          <w:color w:val="333333"/>
          <w:shd w:val="clear" w:color="auto" w:fill="FFFFFF"/>
        </w:rPr>
      </w:pPr>
    </w:p>
    <w:p w14:paraId="7FAB004A" w14:textId="48C5E6E6" w:rsidR="001E134D" w:rsidRDefault="001E134D" w:rsidP="001E134D">
      <w:pPr>
        <w:pStyle w:val="ListParagraph"/>
        <w:numPr>
          <w:ilvl w:val="0"/>
          <w:numId w:val="14"/>
        </w:numPr>
        <w:rPr>
          <w:rFonts w:eastAsia="Times New Roman" w:cs="Times New Roman"/>
        </w:rPr>
      </w:pPr>
      <w:r w:rsidRPr="00EB1717">
        <w:rPr>
          <w:rFonts w:cs="Arial"/>
          <w:b/>
          <w:bCs/>
          <w:color w:val="333333"/>
          <w:shd w:val="clear" w:color="auto" w:fill="FFFFFF"/>
        </w:rPr>
        <w:t xml:space="preserve">SB 5229, </w:t>
      </w:r>
      <w:r w:rsidRPr="00EB1717">
        <w:rPr>
          <w:rFonts w:cs="Arial"/>
          <w:color w:val="333333"/>
          <w:shd w:val="clear" w:color="auto" w:fill="FFFFFF"/>
        </w:rPr>
        <w:t xml:space="preserve">the legislation that creates a </w:t>
      </w:r>
      <w:r w:rsidRPr="00EB1717">
        <w:rPr>
          <w:rFonts w:cs="Arial"/>
          <w:b/>
          <w:bCs/>
          <w:color w:val="333333"/>
          <w:shd w:val="clear" w:color="auto" w:fill="FFFFFF"/>
        </w:rPr>
        <w:t>health equity continuing education</w:t>
      </w:r>
      <w:r w:rsidRPr="00EB1717">
        <w:rPr>
          <w:rFonts w:cs="Arial"/>
          <w:color w:val="333333"/>
          <w:shd w:val="clear" w:color="auto" w:fill="FFFFFF"/>
        </w:rPr>
        <w:t xml:space="preserve"> requirement for health care providers, passed the House Health Care &amp; Wellness Committee last Wednesday.  </w:t>
      </w:r>
      <w:r w:rsidR="00B3536A">
        <w:rPr>
          <w:rFonts w:eastAsia="Times New Roman" w:cs="Calibri"/>
          <w:color w:val="000000"/>
        </w:rPr>
        <w:t>WSLHA</w:t>
      </w:r>
      <w:r w:rsidRPr="00EB1717">
        <w:rPr>
          <w:rFonts w:eastAsia="Times New Roman" w:cs="Calibri"/>
          <w:color w:val="000000"/>
        </w:rPr>
        <w:t xml:space="preserve"> signed in in support of this bill.  </w:t>
      </w:r>
      <w:r w:rsidRPr="00403F1B">
        <w:rPr>
          <w:rFonts w:eastAsia="Times New Roman" w:cs="Calibri"/>
          <w:color w:val="000000"/>
        </w:rPr>
        <w:t xml:space="preserve">It was amended in committee to </w:t>
      </w:r>
      <w:r w:rsidRPr="00403F1B">
        <w:rPr>
          <w:rFonts w:eastAsia="Times New Roman" w:cs="Times New Roman"/>
        </w:rPr>
        <w:t>move the date upon which information must be provided to licensees about available CE courses from July 1, 2022, to July 1, 2023.</w:t>
      </w:r>
    </w:p>
    <w:p w14:paraId="37F6B411" w14:textId="77777777" w:rsidR="001E134D" w:rsidRPr="001E134D" w:rsidRDefault="001E134D" w:rsidP="001E134D">
      <w:pPr>
        <w:pStyle w:val="ListParagraph"/>
        <w:rPr>
          <w:rFonts w:eastAsia="Times New Roman" w:cs="Times New Roman"/>
        </w:rPr>
      </w:pPr>
    </w:p>
    <w:p w14:paraId="5130DF20" w14:textId="2AA8ADB5" w:rsidR="001E134D" w:rsidRPr="00145C55" w:rsidRDefault="001E134D" w:rsidP="001E134D">
      <w:pPr>
        <w:pStyle w:val="ListParagraph"/>
        <w:numPr>
          <w:ilvl w:val="0"/>
          <w:numId w:val="14"/>
        </w:numPr>
        <w:rPr>
          <w:rFonts w:cs="Arial"/>
          <w:b/>
          <w:bCs/>
          <w:color w:val="333333"/>
          <w:shd w:val="clear" w:color="auto" w:fill="FFFFFF"/>
        </w:rPr>
      </w:pPr>
      <w:r w:rsidRPr="004C51CF">
        <w:rPr>
          <w:b/>
          <w:bCs/>
          <w:color w:val="000000"/>
        </w:rPr>
        <w:t xml:space="preserve">SB 5284 </w:t>
      </w:r>
      <w:r>
        <w:rPr>
          <w:color w:val="000000"/>
        </w:rPr>
        <w:t>passed</w:t>
      </w:r>
      <w:r w:rsidRPr="004C51CF">
        <w:rPr>
          <w:color w:val="000000"/>
        </w:rPr>
        <w:t xml:space="preserve"> the House Labor &amp; Workplace Standards Committee</w:t>
      </w:r>
      <w:r>
        <w:rPr>
          <w:color w:val="000000"/>
        </w:rPr>
        <w:t xml:space="preserve"> last Friday</w:t>
      </w:r>
      <w:r w:rsidRPr="004C51CF">
        <w:rPr>
          <w:color w:val="000000"/>
        </w:rPr>
        <w:t xml:space="preserve">.  This bill </w:t>
      </w:r>
      <w:r w:rsidRPr="004C51CF">
        <w:rPr>
          <w:rFonts w:eastAsia="Times New Roman" w:cs="Times New Roman"/>
          <w:b/>
          <w:bCs/>
        </w:rPr>
        <w:t>eliminates subminimum wage</w:t>
      </w:r>
      <w:r w:rsidRPr="004C51CF">
        <w:rPr>
          <w:rFonts w:eastAsia="Times New Roman" w:cs="Times New Roman"/>
        </w:rPr>
        <w:t xml:space="preserve"> certificates for people with disabilities after July 31, 2023.</w:t>
      </w:r>
      <w:r>
        <w:rPr>
          <w:rFonts w:eastAsia="Times New Roman" w:cs="Times New Roman"/>
        </w:rPr>
        <w:t xml:space="preserve">  </w:t>
      </w:r>
      <w:r>
        <w:rPr>
          <w:rFonts w:eastAsia="Times New Roman" w:cs="Calibri"/>
          <w:b/>
          <w:bCs/>
          <w:color w:val="000000"/>
        </w:rPr>
        <w:t>WSLHA</w:t>
      </w:r>
      <w:r w:rsidRPr="00317FBA">
        <w:rPr>
          <w:rFonts w:eastAsia="Times New Roman" w:cs="Calibri"/>
          <w:b/>
          <w:bCs/>
          <w:color w:val="000000"/>
        </w:rPr>
        <w:t xml:space="preserve"> signed </w:t>
      </w:r>
      <w:r>
        <w:rPr>
          <w:rFonts w:eastAsia="Times New Roman" w:cs="Calibri"/>
          <w:b/>
          <w:bCs/>
          <w:color w:val="000000"/>
        </w:rPr>
        <w:t xml:space="preserve">in </w:t>
      </w:r>
      <w:r w:rsidRPr="00317FBA">
        <w:rPr>
          <w:rFonts w:eastAsia="Times New Roman" w:cs="Calibri"/>
          <w:b/>
          <w:bCs/>
          <w:color w:val="000000"/>
        </w:rPr>
        <w:t>in support of this bill.</w:t>
      </w:r>
      <w:r>
        <w:rPr>
          <w:rFonts w:eastAsia="Times New Roman" w:cs="Calibri"/>
          <w:b/>
          <w:bCs/>
          <w:color w:val="000000"/>
        </w:rPr>
        <w:t xml:space="preserve">  </w:t>
      </w:r>
      <w:r>
        <w:rPr>
          <w:rFonts w:eastAsia="Times New Roman" w:cs="Calibri"/>
          <w:color w:val="000000"/>
        </w:rPr>
        <w:t>It now goes to the Rules Committee.</w:t>
      </w:r>
    </w:p>
    <w:p w14:paraId="48DFAC9D" w14:textId="77777777" w:rsidR="001E134D" w:rsidRDefault="001E134D" w:rsidP="001E134D">
      <w:pPr>
        <w:pStyle w:val="Heading1"/>
      </w:pPr>
      <w:r>
        <w:t>Next Week’s Events</w:t>
      </w:r>
    </w:p>
    <w:p w14:paraId="47EDD71B" w14:textId="77777777" w:rsidR="001E134D" w:rsidRDefault="001E134D" w:rsidP="001E134D">
      <w:pPr>
        <w:rPr>
          <w:rFonts w:ascii="Cambria" w:eastAsia="Times New Roman" w:hAnsi="Cambria" w:cstheme="minorHAnsi"/>
          <w:b/>
          <w:bCs/>
          <w:color w:val="000000" w:themeColor="text1"/>
          <w:shd w:val="clear" w:color="auto" w:fill="FFFFFF"/>
        </w:rPr>
      </w:pPr>
    </w:p>
    <w:p w14:paraId="0A61F902" w14:textId="6896015C" w:rsidR="001E134D" w:rsidRDefault="001E134D" w:rsidP="001E134D">
      <w:pPr>
        <w:rPr>
          <w:rFonts w:ascii="Cambria" w:eastAsia="Times New Roman" w:hAnsi="Cambria" w:cstheme="minorHAnsi"/>
          <w:color w:val="000000" w:themeColor="text1"/>
          <w:shd w:val="clear" w:color="auto" w:fill="FFFFFF"/>
        </w:rPr>
      </w:pPr>
      <w:r w:rsidRPr="00255056">
        <w:rPr>
          <w:rFonts w:ascii="Cambria" w:eastAsia="Times New Roman" w:hAnsi="Cambria" w:cstheme="minorHAnsi"/>
          <w:b/>
          <w:bCs/>
          <w:color w:val="000000" w:themeColor="text1"/>
          <w:shd w:val="clear" w:color="auto" w:fill="FFFFFF"/>
        </w:rPr>
        <w:t>Budgets released next week.</w:t>
      </w:r>
      <w:r w:rsidRPr="00255056">
        <w:rPr>
          <w:rFonts w:ascii="Cambria" w:eastAsia="Times New Roman" w:hAnsi="Cambria" w:cstheme="minorHAnsi"/>
          <w:color w:val="000000" w:themeColor="text1"/>
          <w:shd w:val="clear" w:color="auto" w:fill="FFFFFF"/>
        </w:rPr>
        <w:t xml:space="preserve">  The House and Senate </w:t>
      </w:r>
      <w:r>
        <w:rPr>
          <w:rFonts w:ascii="Cambria" w:eastAsia="Times New Roman" w:hAnsi="Cambria" w:cstheme="minorHAnsi"/>
          <w:color w:val="000000" w:themeColor="text1"/>
          <w:shd w:val="clear" w:color="auto" w:fill="FFFFFF"/>
        </w:rPr>
        <w:t xml:space="preserve">operating </w:t>
      </w:r>
      <w:r w:rsidRPr="00255056">
        <w:rPr>
          <w:rFonts w:ascii="Cambria" w:eastAsia="Times New Roman" w:hAnsi="Cambria" w:cstheme="minorHAnsi"/>
          <w:color w:val="000000" w:themeColor="text1"/>
          <w:shd w:val="clear" w:color="auto" w:fill="FFFFFF"/>
        </w:rPr>
        <w:t>budget</w:t>
      </w:r>
      <w:r>
        <w:rPr>
          <w:rFonts w:ascii="Cambria" w:eastAsia="Times New Roman" w:hAnsi="Cambria" w:cstheme="minorHAnsi"/>
          <w:color w:val="000000" w:themeColor="text1"/>
          <w:shd w:val="clear" w:color="auto" w:fill="FFFFFF"/>
        </w:rPr>
        <w:t>s</w:t>
      </w:r>
      <w:r w:rsidRPr="00255056">
        <w:rPr>
          <w:rFonts w:ascii="Cambria" w:eastAsia="Times New Roman" w:hAnsi="Cambria" w:cstheme="minorHAnsi"/>
          <w:color w:val="000000" w:themeColor="text1"/>
          <w:shd w:val="clear" w:color="auto" w:fill="FFFFFF"/>
        </w:rPr>
        <w:t xml:space="preserve"> </w:t>
      </w:r>
      <w:r>
        <w:rPr>
          <w:rFonts w:ascii="Cambria" w:eastAsia="Times New Roman" w:hAnsi="Cambria" w:cstheme="minorHAnsi"/>
          <w:color w:val="000000" w:themeColor="text1"/>
          <w:shd w:val="clear" w:color="auto" w:fill="FFFFFF"/>
        </w:rPr>
        <w:t>will</w:t>
      </w:r>
      <w:r w:rsidRPr="00255056">
        <w:rPr>
          <w:rFonts w:ascii="Cambria" w:eastAsia="Times New Roman" w:hAnsi="Cambria" w:cstheme="minorHAnsi"/>
          <w:color w:val="000000" w:themeColor="text1"/>
          <w:shd w:val="clear" w:color="auto" w:fill="FFFFFF"/>
        </w:rPr>
        <w:t xml:space="preserve"> be released next wee</w:t>
      </w:r>
      <w:r>
        <w:rPr>
          <w:rFonts w:ascii="Cambria" w:eastAsia="Times New Roman" w:hAnsi="Cambria" w:cstheme="minorHAnsi"/>
          <w:color w:val="000000" w:themeColor="text1"/>
          <w:shd w:val="clear" w:color="auto" w:fill="FFFFFF"/>
        </w:rPr>
        <w:t xml:space="preserve">k. </w:t>
      </w:r>
      <w:r w:rsidRPr="00255056">
        <w:rPr>
          <w:rFonts w:ascii="Cambria" w:eastAsia="Times New Roman" w:hAnsi="Cambria" w:cstheme="minorHAnsi"/>
          <w:color w:val="000000" w:themeColor="text1"/>
          <w:shd w:val="clear" w:color="auto" w:fill="FFFFFF"/>
        </w:rPr>
        <w:t xml:space="preserve"> </w:t>
      </w:r>
      <w:r w:rsidRPr="00255056">
        <w:rPr>
          <w:rFonts w:ascii="Cambria" w:hAnsi="Cambria"/>
          <w:color w:val="000000" w:themeColor="text1"/>
        </w:rPr>
        <w:t xml:space="preserve">Senate Democrats </w:t>
      </w:r>
      <w:r>
        <w:rPr>
          <w:rFonts w:ascii="Cambria" w:hAnsi="Cambria"/>
          <w:color w:val="000000" w:themeColor="text1"/>
        </w:rPr>
        <w:t>will roll out</w:t>
      </w:r>
      <w:r w:rsidRPr="00255056">
        <w:rPr>
          <w:rFonts w:ascii="Cambria" w:hAnsi="Cambria"/>
          <w:color w:val="000000" w:themeColor="text1"/>
        </w:rPr>
        <w:t xml:space="preserve"> their </w:t>
      </w:r>
      <w:r>
        <w:rPr>
          <w:rFonts w:ascii="Cambria" w:hAnsi="Cambria"/>
          <w:color w:val="000000" w:themeColor="text1"/>
        </w:rPr>
        <w:t>operating budget</w:t>
      </w:r>
      <w:r w:rsidRPr="00255056">
        <w:rPr>
          <w:rFonts w:ascii="Cambria" w:hAnsi="Cambria"/>
          <w:color w:val="000000" w:themeColor="text1"/>
        </w:rPr>
        <w:t xml:space="preserve"> on March 25</w:t>
      </w:r>
      <w:r w:rsidRPr="00255056">
        <w:rPr>
          <w:rFonts w:ascii="Cambria" w:hAnsi="Cambria"/>
          <w:color w:val="000000" w:themeColor="text1"/>
          <w:vertAlign w:val="superscript"/>
        </w:rPr>
        <w:t>th</w:t>
      </w:r>
      <w:r>
        <w:rPr>
          <w:rFonts w:ascii="Cambria" w:hAnsi="Cambria"/>
          <w:color w:val="000000" w:themeColor="text1"/>
        </w:rPr>
        <w:t>, with a hearing scheduled for March 26</w:t>
      </w:r>
      <w:r w:rsidRPr="00255056">
        <w:rPr>
          <w:rFonts w:ascii="Cambria" w:hAnsi="Cambria"/>
          <w:color w:val="000000" w:themeColor="text1"/>
          <w:vertAlign w:val="superscript"/>
        </w:rPr>
        <w:t>th</w:t>
      </w:r>
      <w:r>
        <w:rPr>
          <w:rFonts w:ascii="Cambria" w:hAnsi="Cambria"/>
          <w:color w:val="000000" w:themeColor="text1"/>
        </w:rPr>
        <w:t>.  T</w:t>
      </w:r>
      <w:r w:rsidRPr="00255056">
        <w:rPr>
          <w:rFonts w:ascii="Cambria" w:hAnsi="Cambria"/>
          <w:color w:val="000000" w:themeColor="text1"/>
        </w:rPr>
        <w:t xml:space="preserve">he House </w:t>
      </w:r>
      <w:r>
        <w:rPr>
          <w:rFonts w:ascii="Cambria" w:hAnsi="Cambria"/>
          <w:color w:val="000000" w:themeColor="text1"/>
        </w:rPr>
        <w:t xml:space="preserve">will </w:t>
      </w:r>
      <w:r w:rsidRPr="00255056">
        <w:rPr>
          <w:rFonts w:ascii="Cambria" w:hAnsi="Cambria"/>
          <w:color w:val="000000" w:themeColor="text1"/>
        </w:rPr>
        <w:t xml:space="preserve">follow </w:t>
      </w:r>
      <w:r>
        <w:rPr>
          <w:rFonts w:ascii="Cambria" w:hAnsi="Cambria"/>
          <w:color w:val="000000" w:themeColor="text1"/>
        </w:rPr>
        <w:t>with a rumored budget release on March 26</w:t>
      </w:r>
      <w:r w:rsidRPr="00255056">
        <w:rPr>
          <w:rFonts w:ascii="Cambria" w:hAnsi="Cambria"/>
          <w:color w:val="000000" w:themeColor="text1"/>
          <w:vertAlign w:val="superscript"/>
        </w:rPr>
        <w:t>th</w:t>
      </w:r>
      <w:r>
        <w:rPr>
          <w:rFonts w:ascii="Cambria" w:hAnsi="Cambria"/>
          <w:color w:val="000000" w:themeColor="text1"/>
        </w:rPr>
        <w:t xml:space="preserve"> and a hearing on March 27</w:t>
      </w:r>
      <w:r w:rsidRPr="00255056">
        <w:rPr>
          <w:rFonts w:ascii="Cambria" w:hAnsi="Cambria"/>
          <w:color w:val="000000" w:themeColor="text1"/>
          <w:vertAlign w:val="superscript"/>
        </w:rPr>
        <w:t>th</w:t>
      </w:r>
      <w:r>
        <w:rPr>
          <w:rFonts w:ascii="Cambria" w:hAnsi="Cambria"/>
          <w:color w:val="000000" w:themeColor="text1"/>
        </w:rPr>
        <w:t>.</w:t>
      </w:r>
      <w:r w:rsidRPr="00255056">
        <w:rPr>
          <w:rFonts w:ascii="Cambria" w:hAnsi="Cambria"/>
          <w:color w:val="000000" w:themeColor="text1"/>
        </w:rPr>
        <w:t xml:space="preserve"> </w:t>
      </w:r>
      <w:r w:rsidRPr="00255056">
        <w:rPr>
          <w:rFonts w:ascii="Cambria" w:eastAsia="Times New Roman" w:hAnsi="Cambria" w:cstheme="minorHAnsi"/>
          <w:color w:val="000000" w:themeColor="text1"/>
          <w:shd w:val="clear" w:color="auto" w:fill="FFFFFF"/>
        </w:rPr>
        <w:t xml:space="preserve"> </w:t>
      </w:r>
    </w:p>
    <w:p w14:paraId="5DBF2353" w14:textId="08BB1F7E" w:rsidR="001E134D" w:rsidRDefault="001E134D" w:rsidP="001E134D">
      <w:pPr>
        <w:rPr>
          <w:rFonts w:ascii="Cambria" w:eastAsia="Times New Roman" w:hAnsi="Cambria" w:cstheme="minorHAnsi"/>
          <w:color w:val="000000" w:themeColor="text1"/>
          <w:shd w:val="clear" w:color="auto" w:fill="FFFFFF"/>
        </w:rPr>
      </w:pPr>
    </w:p>
    <w:p w14:paraId="0DB3CD50" w14:textId="3772A600" w:rsidR="001E134D" w:rsidRDefault="00524C2B" w:rsidP="001E134D">
      <w:pPr>
        <w:rPr>
          <w:rFonts w:ascii="Cambria" w:eastAsia="Times New Roman" w:hAnsi="Cambria" w:cstheme="minorHAnsi"/>
          <w:color w:val="000000" w:themeColor="text1"/>
          <w:shd w:val="clear" w:color="auto" w:fill="FFFFFF"/>
        </w:rPr>
      </w:pPr>
      <w:r w:rsidRPr="00524C2B">
        <w:rPr>
          <w:rFonts w:ascii="Cambria" w:eastAsia="Times New Roman" w:hAnsi="Cambria" w:cstheme="minorHAnsi"/>
          <w:b/>
          <w:bCs/>
          <w:color w:val="000000" w:themeColor="text1"/>
          <w:shd w:val="clear" w:color="auto" w:fill="FFFFFF"/>
        </w:rPr>
        <w:lastRenderedPageBreak/>
        <w:t xml:space="preserve">Children’s hearing aid mandate </w:t>
      </w:r>
      <w:r>
        <w:rPr>
          <w:rFonts w:ascii="Cambria" w:eastAsia="Times New Roman" w:hAnsi="Cambria" w:cstheme="minorHAnsi"/>
          <w:b/>
          <w:bCs/>
          <w:color w:val="000000" w:themeColor="text1"/>
          <w:shd w:val="clear" w:color="auto" w:fill="FFFFFF"/>
        </w:rPr>
        <w:t>budget proviso</w:t>
      </w:r>
      <w:r w:rsidRPr="00524C2B">
        <w:rPr>
          <w:rFonts w:ascii="Cambria" w:eastAsia="Times New Roman" w:hAnsi="Cambria" w:cstheme="minorHAnsi"/>
          <w:b/>
          <w:bCs/>
          <w:color w:val="000000" w:themeColor="text1"/>
          <w:shd w:val="clear" w:color="auto" w:fill="FFFFFF"/>
        </w:rPr>
        <w:t>.</w:t>
      </w:r>
      <w:r>
        <w:rPr>
          <w:rFonts w:ascii="Cambria" w:eastAsia="Times New Roman" w:hAnsi="Cambria" w:cstheme="minorHAnsi"/>
          <w:color w:val="000000" w:themeColor="text1"/>
          <w:shd w:val="clear" w:color="auto" w:fill="FFFFFF"/>
        </w:rPr>
        <w:t xml:space="preserve">  You’ll recall that WSLHA supported HB 1047, legislation mandating insurance coverage for children’s hearing aids.  While that bill did not pass this session, we expect to see a House budget proviso that would fund a study on the cost of this mandate to the state budget.  This cost analysis is the next step in (hopefully) passing this bill next session. </w:t>
      </w:r>
    </w:p>
    <w:p w14:paraId="6B9A7F2A" w14:textId="77777777" w:rsidR="001E134D" w:rsidRDefault="001E134D" w:rsidP="001E134D">
      <w:pPr>
        <w:rPr>
          <w:rFonts w:ascii="Cambria" w:eastAsia="Times New Roman" w:hAnsi="Cambria" w:cstheme="minorHAnsi"/>
          <w:color w:val="000000" w:themeColor="text1"/>
          <w:shd w:val="clear" w:color="auto" w:fill="FFFFFF"/>
        </w:rPr>
      </w:pPr>
    </w:p>
    <w:p w14:paraId="760D1C2B" w14:textId="1EEC381F" w:rsidR="001B014D" w:rsidRPr="001E134D" w:rsidRDefault="001E134D" w:rsidP="001E134D">
      <w:pPr>
        <w:contextualSpacing/>
        <w:rPr>
          <w:rFonts w:cstheme="minorHAnsi"/>
        </w:rPr>
      </w:pPr>
      <w:r w:rsidRPr="00CC113E">
        <w:rPr>
          <w:rFonts w:ascii="Cambria" w:eastAsia="Times New Roman" w:hAnsi="Cambria" w:cstheme="minorHAnsi"/>
          <w:b/>
          <w:bCs/>
          <w:color w:val="000000" w:themeColor="text1"/>
          <w:shd w:val="clear" w:color="auto" w:fill="FFFFFF"/>
        </w:rPr>
        <w:t>Cutoffs approaching.</w:t>
      </w:r>
      <w:r>
        <w:rPr>
          <w:rFonts w:ascii="Cambria" w:eastAsia="Times New Roman" w:hAnsi="Cambria" w:cstheme="minorHAnsi"/>
          <w:color w:val="000000" w:themeColor="text1"/>
          <w:shd w:val="clear" w:color="auto" w:fill="FFFFFF"/>
        </w:rPr>
        <w:t xml:space="preserve">  Next </w:t>
      </w:r>
      <w:r w:rsidRPr="00B25C9C">
        <w:rPr>
          <w:rFonts w:cstheme="minorHAnsi"/>
        </w:rPr>
        <w:t>Friday</w:t>
      </w:r>
      <w:r>
        <w:rPr>
          <w:rFonts w:cstheme="minorHAnsi"/>
        </w:rPr>
        <w:t xml:space="preserve"> marks the opposite house policy committee cutoff deadline.  Bills with a fiscal impact must be voted out of the opposite house fiscal committees by April 2</w:t>
      </w:r>
      <w:r w:rsidRPr="00CC113E">
        <w:rPr>
          <w:rFonts w:cstheme="minorHAnsi"/>
          <w:vertAlign w:val="superscript"/>
        </w:rPr>
        <w:t>nd</w:t>
      </w:r>
      <w:r>
        <w:rPr>
          <w:rFonts w:cstheme="minorHAnsi"/>
        </w:rPr>
        <w:t>.  And the opposite house cutoff is on April 11</w:t>
      </w:r>
      <w:r w:rsidRPr="00CC113E">
        <w:rPr>
          <w:rFonts w:cstheme="minorHAnsi"/>
          <w:vertAlign w:val="superscript"/>
        </w:rPr>
        <w:t>th</w:t>
      </w:r>
      <w:r>
        <w:rPr>
          <w:rFonts w:cstheme="minorHAnsi"/>
        </w:rPr>
        <w:t>.  The Legislature is scheduled to adjourn on April 25</w:t>
      </w:r>
      <w:r w:rsidRPr="00CC113E">
        <w:rPr>
          <w:rFonts w:cstheme="minorHAnsi"/>
          <w:vertAlign w:val="superscript"/>
        </w:rPr>
        <w:t>th</w:t>
      </w:r>
      <w:r>
        <w:rPr>
          <w:rFonts w:cstheme="minorHAnsi"/>
        </w:rPr>
        <w:t xml:space="preserve">. </w:t>
      </w:r>
    </w:p>
    <w:sectPr w:rsidR="001B014D" w:rsidRPr="001E134D" w:rsidSect="002A7CED">
      <w:footerReference w:type="default" r:id="rId8"/>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597F" w14:textId="77777777" w:rsidR="00AA4795" w:rsidRDefault="00AA4795">
      <w:r>
        <w:separator/>
      </w:r>
    </w:p>
  </w:endnote>
  <w:endnote w:type="continuationSeparator" w:id="0">
    <w:p w14:paraId="4F12E363" w14:textId="77777777" w:rsidR="00AA4795" w:rsidRDefault="00AA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8816" w14:textId="77777777" w:rsidR="001E134D" w:rsidRDefault="001E134D">
    <w:pPr>
      <w:spacing w:before="240" w:after="240"/>
    </w:pPr>
    <w:r>
      <w:rPr>
        <w:color w:val="000000"/>
      </w:rPr>
      <w:t>Detail Report</w:t>
    </w:r>
    <w:r>
      <w:rPr>
        <w:color w:val="000000"/>
      </w:rPr>
      <w:br/>
      <w:t>March 20, 2021</w:t>
    </w:r>
    <w:r>
      <w:rPr>
        <w:color w:val="000000"/>
      </w:rPr>
      <w:br/>
      <w:t xml:space="preserve">Page </w:t>
    </w:r>
    <w:r>
      <w:fldChar w:fldCharType="begin"/>
    </w:r>
    <w:r>
      <w:instrText>PAGE</w:instrText>
    </w:r>
    <w:r>
      <w:fldChar w:fldCharType="separate"/>
    </w:r>
    <w:r>
      <w:rPr>
        <w:noProof/>
      </w:rPr>
      <w:t>1</w:t>
    </w:r>
    <w:r>
      <w:fldChar w:fldCharType="end"/>
    </w:r>
    <w:r>
      <w:rPr>
        <w:color w:val="000000"/>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745F" w14:textId="77777777" w:rsidR="00AA4795" w:rsidRDefault="00AA4795">
      <w:r>
        <w:separator/>
      </w:r>
    </w:p>
  </w:footnote>
  <w:footnote w:type="continuationSeparator" w:id="0">
    <w:p w14:paraId="671719E6" w14:textId="77777777" w:rsidR="00AA4795" w:rsidRDefault="00AA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272"/>
    <w:multiLevelType w:val="hybridMultilevel"/>
    <w:tmpl w:val="FD6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692"/>
    <w:multiLevelType w:val="multilevel"/>
    <w:tmpl w:val="6B1EB6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601F81"/>
    <w:multiLevelType w:val="hybridMultilevel"/>
    <w:tmpl w:val="92D2E736"/>
    <w:lvl w:ilvl="0" w:tplc="79624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E270FD"/>
    <w:multiLevelType w:val="hybridMultilevel"/>
    <w:tmpl w:val="B98CDC6E"/>
    <w:lvl w:ilvl="0" w:tplc="66451737">
      <w:start w:val="1"/>
      <w:numFmt w:val="decimal"/>
      <w:lvlText w:val="%1."/>
      <w:lvlJc w:val="left"/>
      <w:pPr>
        <w:ind w:left="720" w:hanging="360"/>
      </w:pPr>
    </w:lvl>
    <w:lvl w:ilvl="1" w:tplc="66451737" w:tentative="1">
      <w:start w:val="1"/>
      <w:numFmt w:val="lowerLetter"/>
      <w:lvlText w:val="%2."/>
      <w:lvlJc w:val="left"/>
      <w:pPr>
        <w:ind w:left="1440" w:hanging="360"/>
      </w:pPr>
    </w:lvl>
    <w:lvl w:ilvl="2" w:tplc="66451737" w:tentative="1">
      <w:start w:val="1"/>
      <w:numFmt w:val="lowerRoman"/>
      <w:lvlText w:val="%3."/>
      <w:lvlJc w:val="right"/>
      <w:pPr>
        <w:ind w:left="2160" w:hanging="180"/>
      </w:pPr>
    </w:lvl>
    <w:lvl w:ilvl="3" w:tplc="66451737" w:tentative="1">
      <w:start w:val="1"/>
      <w:numFmt w:val="decimal"/>
      <w:lvlText w:val="%4."/>
      <w:lvlJc w:val="left"/>
      <w:pPr>
        <w:ind w:left="2880" w:hanging="360"/>
      </w:pPr>
    </w:lvl>
    <w:lvl w:ilvl="4" w:tplc="66451737" w:tentative="1">
      <w:start w:val="1"/>
      <w:numFmt w:val="lowerLetter"/>
      <w:lvlText w:val="%5."/>
      <w:lvlJc w:val="left"/>
      <w:pPr>
        <w:ind w:left="3600" w:hanging="360"/>
      </w:pPr>
    </w:lvl>
    <w:lvl w:ilvl="5" w:tplc="66451737" w:tentative="1">
      <w:start w:val="1"/>
      <w:numFmt w:val="lowerRoman"/>
      <w:lvlText w:val="%6."/>
      <w:lvlJc w:val="right"/>
      <w:pPr>
        <w:ind w:left="4320" w:hanging="180"/>
      </w:pPr>
    </w:lvl>
    <w:lvl w:ilvl="6" w:tplc="66451737" w:tentative="1">
      <w:start w:val="1"/>
      <w:numFmt w:val="decimal"/>
      <w:lvlText w:val="%7."/>
      <w:lvlJc w:val="left"/>
      <w:pPr>
        <w:ind w:left="5040" w:hanging="360"/>
      </w:pPr>
    </w:lvl>
    <w:lvl w:ilvl="7" w:tplc="66451737" w:tentative="1">
      <w:start w:val="1"/>
      <w:numFmt w:val="lowerLetter"/>
      <w:lvlText w:val="%8."/>
      <w:lvlJc w:val="left"/>
      <w:pPr>
        <w:ind w:left="5760" w:hanging="360"/>
      </w:pPr>
    </w:lvl>
    <w:lvl w:ilvl="8" w:tplc="66451737" w:tentative="1">
      <w:start w:val="1"/>
      <w:numFmt w:val="lowerRoman"/>
      <w:lvlText w:val="%9."/>
      <w:lvlJc w:val="right"/>
      <w:pPr>
        <w:ind w:left="6480" w:hanging="180"/>
      </w:p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9074694"/>
    <w:multiLevelType w:val="hybridMultilevel"/>
    <w:tmpl w:val="ACD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E887965"/>
    <w:multiLevelType w:val="hybridMultilevel"/>
    <w:tmpl w:val="330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30798E"/>
    <w:multiLevelType w:val="hybridMultilevel"/>
    <w:tmpl w:val="1AA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63348"/>
    <w:multiLevelType w:val="hybridMultilevel"/>
    <w:tmpl w:val="F23A6026"/>
    <w:lvl w:ilvl="0" w:tplc="04090001">
      <w:start w:val="1"/>
      <w:numFmt w:val="bullet"/>
      <w:lvlText w:val=""/>
      <w:lvlJc w:val="left"/>
      <w:pPr>
        <w:ind w:left="720" w:hanging="360"/>
      </w:pPr>
      <w:rPr>
        <w:rFonts w:ascii="Symbol" w:hAnsi="Symbol" w:hint="default"/>
      </w:rPr>
    </w:lvl>
    <w:lvl w:ilvl="1" w:tplc="257421AC">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5"/>
  </w:num>
  <w:num w:numId="6">
    <w:abstractNumId w:val="4"/>
  </w:num>
  <w:num w:numId="7">
    <w:abstractNumId w:val="7"/>
  </w:num>
  <w:num w:numId="8">
    <w:abstractNumId w:val="2"/>
  </w:num>
  <w:num w:numId="9">
    <w:abstractNumId w:val="3"/>
  </w:num>
  <w:num w:numId="10">
    <w:abstractNumId w:val="1"/>
  </w:num>
  <w:num w:numId="11">
    <w:abstractNumId w:val="14"/>
  </w:num>
  <w:num w:numId="12">
    <w:abstractNumId w:val="6"/>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43E29"/>
    <w:rsid w:val="00080127"/>
    <w:rsid w:val="00190762"/>
    <w:rsid w:val="001B014D"/>
    <w:rsid w:val="001E134D"/>
    <w:rsid w:val="00211F89"/>
    <w:rsid w:val="00253FC7"/>
    <w:rsid w:val="002A7CED"/>
    <w:rsid w:val="00332050"/>
    <w:rsid w:val="00403577"/>
    <w:rsid w:val="00524C2B"/>
    <w:rsid w:val="00596CBB"/>
    <w:rsid w:val="00624664"/>
    <w:rsid w:val="006E2870"/>
    <w:rsid w:val="007C4D0A"/>
    <w:rsid w:val="00843371"/>
    <w:rsid w:val="00A93BCE"/>
    <w:rsid w:val="00AA4795"/>
    <w:rsid w:val="00AC30E5"/>
    <w:rsid w:val="00B31DD1"/>
    <w:rsid w:val="00B3536A"/>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78379"/>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E29"/>
    <w:pPr>
      <w:ind w:left="720"/>
      <w:contextualSpacing/>
    </w:pPr>
  </w:style>
  <w:style w:type="paragraph" w:styleId="NormalWeb">
    <w:name w:val="Normal (Web)"/>
    <w:basedOn w:val="Normal"/>
    <w:uiPriority w:val="99"/>
    <w:semiHidden/>
    <w:unhideWhenUsed/>
    <w:rsid w:val="00043E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3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leg.wa.gov/committeeschedules/Home/Document/232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2</cp:revision>
  <dcterms:created xsi:type="dcterms:W3CDTF">2021-03-21T15:04:00Z</dcterms:created>
  <dcterms:modified xsi:type="dcterms:W3CDTF">2021-03-21T15:04:00Z</dcterms:modified>
  <cp:category/>
</cp:coreProperties>
</file>